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D361" w14:textId="2D8A5C90" w:rsidR="00BE739B" w:rsidRPr="004F662D" w:rsidRDefault="00CC3105" w:rsidP="002560D6">
      <w:pPr>
        <w:tabs>
          <w:tab w:val="left" w:pos="5954"/>
        </w:tabs>
        <w:spacing w:after="0"/>
        <w:ind w:right="-1"/>
        <w:jc w:val="center"/>
        <w:rPr>
          <w:rFonts w:cstheme="minorHAnsi"/>
          <w:bCs/>
          <w:noProof/>
          <w:color w:val="FF0000"/>
          <w:sz w:val="32"/>
          <w:szCs w:val="32"/>
        </w:rPr>
      </w:pPr>
      <w:bookmarkStart w:id="0" w:name="_GoBack"/>
      <w:bookmarkEnd w:id="0"/>
      <w:r w:rsidRPr="004F662D">
        <w:rPr>
          <w:rFonts w:cstheme="minorHAnsi"/>
          <w:bCs/>
          <w:noProof/>
          <w:color w:val="FF0000"/>
          <w:sz w:val="32"/>
          <w:szCs w:val="32"/>
        </w:rPr>
        <w:t>[</w:t>
      </w:r>
      <w:r w:rsidRPr="004F662D">
        <w:rPr>
          <w:rFonts w:cstheme="minorHAnsi"/>
          <w:bCs/>
          <w:i/>
          <w:noProof/>
          <w:color w:val="FF0000"/>
          <w:sz w:val="32"/>
          <w:szCs w:val="32"/>
          <w:highlight w:val="yellow"/>
        </w:rPr>
        <w:t xml:space="preserve">Attestation </w:t>
      </w:r>
      <w:r w:rsidR="005D0FFB" w:rsidRPr="004F662D">
        <w:rPr>
          <w:rFonts w:cstheme="minorHAnsi"/>
          <w:bCs/>
          <w:i/>
          <w:noProof/>
          <w:color w:val="FF0000"/>
          <w:sz w:val="32"/>
          <w:szCs w:val="32"/>
          <w:highlight w:val="yellow"/>
        </w:rPr>
        <w:t xml:space="preserve">à </w:t>
      </w:r>
      <w:r w:rsidRPr="004F662D">
        <w:rPr>
          <w:rFonts w:cstheme="minorHAnsi"/>
          <w:bCs/>
          <w:i/>
          <w:noProof/>
          <w:color w:val="FF0000"/>
          <w:sz w:val="32"/>
          <w:szCs w:val="32"/>
          <w:highlight w:val="yellow"/>
        </w:rPr>
        <w:t>établi</w:t>
      </w:r>
      <w:r w:rsidR="005D0FFB" w:rsidRPr="004F662D">
        <w:rPr>
          <w:rFonts w:cstheme="minorHAnsi"/>
          <w:bCs/>
          <w:i/>
          <w:noProof/>
          <w:color w:val="FF0000"/>
          <w:sz w:val="32"/>
          <w:szCs w:val="32"/>
          <w:highlight w:val="yellow"/>
        </w:rPr>
        <w:t>r</w:t>
      </w:r>
      <w:r w:rsidRPr="004F662D">
        <w:rPr>
          <w:rFonts w:cstheme="minorHAnsi"/>
          <w:bCs/>
          <w:i/>
          <w:noProof/>
          <w:color w:val="FF0000"/>
          <w:sz w:val="32"/>
          <w:szCs w:val="32"/>
          <w:highlight w:val="yellow"/>
        </w:rPr>
        <w:t xml:space="preserve"> sur papier à en-tête de l’architecte</w:t>
      </w:r>
      <w:r w:rsidRPr="004F662D">
        <w:rPr>
          <w:rFonts w:cstheme="minorHAnsi"/>
          <w:bCs/>
          <w:noProof/>
          <w:color w:val="FF0000"/>
          <w:sz w:val="32"/>
          <w:szCs w:val="32"/>
        </w:rPr>
        <w:t>]</w:t>
      </w:r>
    </w:p>
    <w:p w14:paraId="1DACBEF6" w14:textId="07269E44" w:rsidR="00CC3105" w:rsidRDefault="00CC3105" w:rsidP="002560D6">
      <w:pPr>
        <w:tabs>
          <w:tab w:val="left" w:pos="5954"/>
        </w:tabs>
        <w:spacing w:after="0"/>
        <w:ind w:right="-1"/>
        <w:jc w:val="center"/>
        <w:rPr>
          <w:rFonts w:cstheme="minorHAnsi"/>
          <w:bCs/>
          <w:noProof/>
          <w:sz w:val="12"/>
          <w:szCs w:val="12"/>
        </w:rPr>
      </w:pPr>
    </w:p>
    <w:p w14:paraId="6F924156" w14:textId="58E167A4" w:rsidR="00CC3105" w:rsidRDefault="00CC3105" w:rsidP="002560D6">
      <w:pPr>
        <w:tabs>
          <w:tab w:val="left" w:pos="5954"/>
        </w:tabs>
        <w:spacing w:after="0"/>
        <w:ind w:right="-1"/>
        <w:jc w:val="center"/>
        <w:rPr>
          <w:rFonts w:cstheme="minorHAnsi"/>
          <w:bCs/>
          <w:noProof/>
          <w:sz w:val="12"/>
          <w:szCs w:val="12"/>
        </w:rPr>
      </w:pPr>
    </w:p>
    <w:p w14:paraId="5A51F1E4" w14:textId="77777777" w:rsidR="00CC3105" w:rsidRPr="00652241" w:rsidRDefault="00CC3105" w:rsidP="002560D6">
      <w:pPr>
        <w:tabs>
          <w:tab w:val="left" w:pos="5954"/>
        </w:tabs>
        <w:spacing w:after="0"/>
        <w:ind w:right="-1"/>
        <w:jc w:val="center"/>
        <w:rPr>
          <w:rFonts w:cstheme="minorHAnsi"/>
          <w:bCs/>
          <w:noProof/>
          <w:sz w:val="12"/>
          <w:szCs w:val="12"/>
        </w:rPr>
      </w:pPr>
    </w:p>
    <w:p w14:paraId="794C3354" w14:textId="523C75F9" w:rsidR="009C387B" w:rsidRPr="00F7095F" w:rsidRDefault="009C387B" w:rsidP="009C387B">
      <w:pPr>
        <w:jc w:val="center"/>
        <w:rPr>
          <w:b/>
          <w:color w:val="365F91" w:themeColor="accent1" w:themeShade="BF"/>
          <w:sz w:val="32"/>
          <w:szCs w:val="32"/>
        </w:rPr>
      </w:pPr>
      <w:r w:rsidRPr="00F7095F">
        <w:rPr>
          <w:b/>
          <w:color w:val="365F91" w:themeColor="accent1" w:themeShade="BF"/>
          <w:sz w:val="32"/>
          <w:szCs w:val="32"/>
        </w:rPr>
        <w:t xml:space="preserve">ATTESTATION </w:t>
      </w:r>
    </w:p>
    <w:p w14:paraId="7486A0E1" w14:textId="7F88C075" w:rsidR="00AB6D5C" w:rsidRPr="00F7095F" w:rsidRDefault="00AB6D5C" w:rsidP="009C387B">
      <w:pPr>
        <w:jc w:val="center"/>
        <w:rPr>
          <w:b/>
          <w:color w:val="365F91" w:themeColor="accent1" w:themeShade="BF"/>
          <w:sz w:val="32"/>
          <w:szCs w:val="32"/>
        </w:rPr>
      </w:pPr>
      <w:r w:rsidRPr="00F7095F">
        <w:rPr>
          <w:b/>
          <w:color w:val="365F91" w:themeColor="accent1" w:themeShade="BF"/>
          <w:sz w:val="32"/>
          <w:szCs w:val="32"/>
        </w:rPr>
        <w:t>-</w:t>
      </w:r>
    </w:p>
    <w:p w14:paraId="1E5A1D23" w14:textId="52623920" w:rsidR="005D0FFB" w:rsidRPr="00F470D8" w:rsidRDefault="00F470D8" w:rsidP="001F6F6C">
      <w:pPr>
        <w:spacing w:after="0"/>
        <w:jc w:val="center"/>
        <w:rPr>
          <w:b/>
          <w:color w:val="365F91" w:themeColor="accent1" w:themeShade="BF"/>
          <w:sz w:val="32"/>
          <w:szCs w:val="32"/>
        </w:rPr>
      </w:pPr>
      <w:bookmarkStart w:id="1" w:name="_Hlk37600887"/>
      <w:r w:rsidRPr="00F470D8">
        <w:rPr>
          <w:b/>
          <w:color w:val="365F91" w:themeColor="accent1" w:themeShade="BF"/>
          <w:sz w:val="32"/>
          <w:szCs w:val="32"/>
        </w:rPr>
        <w:t xml:space="preserve">BIENS IMMOBILIERS </w:t>
      </w:r>
    </w:p>
    <w:p w14:paraId="575FC48C" w14:textId="5231EFAB" w:rsidR="00AB6D5C" w:rsidRDefault="00F470D8" w:rsidP="001F6F6C">
      <w:pPr>
        <w:spacing w:after="0"/>
        <w:jc w:val="center"/>
        <w:rPr>
          <w:b/>
          <w:color w:val="365F91" w:themeColor="accent1" w:themeShade="BF"/>
          <w:sz w:val="32"/>
          <w:szCs w:val="32"/>
        </w:rPr>
      </w:pPr>
      <w:r w:rsidRPr="00F470D8">
        <w:rPr>
          <w:b/>
          <w:color w:val="365F91" w:themeColor="accent1" w:themeShade="BF"/>
          <w:sz w:val="32"/>
          <w:szCs w:val="32"/>
        </w:rPr>
        <w:t>APPARTENANT A [</w:t>
      </w:r>
      <w:r w:rsidRPr="00F470D8">
        <w:rPr>
          <w:b/>
          <w:color w:val="365F91" w:themeColor="accent1" w:themeShade="BF"/>
          <w:sz w:val="32"/>
          <w:szCs w:val="32"/>
          <w:highlight w:val="yellow"/>
        </w:rPr>
        <w:t>NOM DE LA SOCIETE</w:t>
      </w:r>
      <w:r w:rsidRPr="00F470D8">
        <w:rPr>
          <w:b/>
          <w:color w:val="365F91" w:themeColor="accent1" w:themeShade="BF"/>
          <w:sz w:val="32"/>
          <w:szCs w:val="32"/>
        </w:rPr>
        <w:t>]</w:t>
      </w:r>
    </w:p>
    <w:p w14:paraId="60C44DDC" w14:textId="14789572" w:rsidR="004708DC" w:rsidRPr="00F470D8" w:rsidRDefault="004708DC" w:rsidP="001F6F6C">
      <w:pPr>
        <w:spacing w:after="0"/>
        <w:jc w:val="center"/>
        <w:rPr>
          <w:b/>
          <w:color w:val="365F91" w:themeColor="accent1" w:themeShade="BF"/>
          <w:sz w:val="32"/>
          <w:szCs w:val="32"/>
        </w:rPr>
      </w:pPr>
      <w:r>
        <w:rPr>
          <w:b/>
          <w:color w:val="365F91" w:themeColor="accent1" w:themeShade="BF"/>
          <w:sz w:val="32"/>
          <w:szCs w:val="32"/>
        </w:rPr>
        <w:t xml:space="preserve">(SIREN </w:t>
      </w:r>
      <w:r w:rsidRPr="004708DC">
        <w:rPr>
          <w:b/>
          <w:color w:val="365F91" w:themeColor="accent1" w:themeShade="BF"/>
          <w:sz w:val="32"/>
          <w:szCs w:val="32"/>
          <w:highlight w:val="yellow"/>
        </w:rPr>
        <w:t>XXX XXX XXX</w:t>
      </w:r>
      <w:r>
        <w:rPr>
          <w:b/>
          <w:color w:val="365F91" w:themeColor="accent1" w:themeShade="BF"/>
          <w:sz w:val="32"/>
          <w:szCs w:val="32"/>
        </w:rPr>
        <w:t>)</w:t>
      </w:r>
    </w:p>
    <w:p w14:paraId="2F5892A3" w14:textId="472AD1AA" w:rsidR="009C387B" w:rsidRPr="00F470D8" w:rsidRDefault="00F470D8" w:rsidP="00BE739B">
      <w:pPr>
        <w:spacing w:after="0"/>
        <w:jc w:val="center"/>
        <w:rPr>
          <w:b/>
          <w:bCs/>
          <w:color w:val="365F91" w:themeColor="accent1" w:themeShade="BF"/>
          <w:sz w:val="28"/>
          <w:szCs w:val="28"/>
        </w:rPr>
      </w:pPr>
      <w:r w:rsidRPr="00F470D8">
        <w:rPr>
          <w:b/>
          <w:color w:val="365F91" w:themeColor="accent1" w:themeShade="BF"/>
          <w:sz w:val="32"/>
          <w:szCs w:val="32"/>
        </w:rPr>
        <w:t>SITUE</w:t>
      </w:r>
      <w:r w:rsidR="004708DC">
        <w:rPr>
          <w:b/>
          <w:color w:val="365F91" w:themeColor="accent1" w:themeShade="BF"/>
          <w:sz w:val="32"/>
          <w:szCs w:val="32"/>
        </w:rPr>
        <w:t>S A</w:t>
      </w:r>
      <w:r w:rsidRPr="00F470D8">
        <w:rPr>
          <w:b/>
          <w:color w:val="365F91" w:themeColor="accent1" w:themeShade="BF"/>
          <w:sz w:val="32"/>
          <w:szCs w:val="32"/>
        </w:rPr>
        <w:t xml:space="preserve"> [</w:t>
      </w:r>
      <w:r w:rsidRPr="00F470D8">
        <w:rPr>
          <w:b/>
          <w:color w:val="365F91" w:themeColor="accent1" w:themeShade="BF"/>
          <w:sz w:val="32"/>
          <w:szCs w:val="32"/>
          <w:highlight w:val="yellow"/>
        </w:rPr>
        <w:t>ADRESSE DES BIENS</w:t>
      </w:r>
      <w:r w:rsidRPr="00F470D8">
        <w:rPr>
          <w:b/>
          <w:color w:val="365F91" w:themeColor="accent1" w:themeShade="BF"/>
          <w:sz w:val="32"/>
          <w:szCs w:val="32"/>
        </w:rPr>
        <w:t>]</w:t>
      </w:r>
    </w:p>
    <w:p w14:paraId="1300993B" w14:textId="10C86FFB" w:rsidR="00CC3105" w:rsidRDefault="00CC3105" w:rsidP="00BE739B">
      <w:pPr>
        <w:jc w:val="both"/>
      </w:pPr>
    </w:p>
    <w:p w14:paraId="4717C6D4" w14:textId="77777777" w:rsidR="00CC3105" w:rsidRDefault="00CC3105" w:rsidP="00BE739B">
      <w:pPr>
        <w:jc w:val="both"/>
      </w:pPr>
    </w:p>
    <w:p w14:paraId="2BF432FD" w14:textId="7DEC6E59" w:rsidR="00AB6D5C" w:rsidRDefault="00AB6D5C" w:rsidP="00F36403">
      <w:pPr>
        <w:spacing w:after="0"/>
        <w:jc w:val="both"/>
      </w:pPr>
      <w:r>
        <w:t>Je soussigné, [</w:t>
      </w:r>
      <w:r w:rsidRPr="00AB6D5C">
        <w:rPr>
          <w:highlight w:val="yellow"/>
        </w:rPr>
        <w:t>identité à préciser</w:t>
      </w:r>
      <w:r>
        <w:t>], agissant en qualité de [</w:t>
      </w:r>
      <w:r w:rsidRPr="00AB6D5C">
        <w:rPr>
          <w:highlight w:val="yellow"/>
        </w:rPr>
        <w:t>fonction à préciser</w:t>
      </w:r>
      <w:r>
        <w:t xml:space="preserve">] </w:t>
      </w:r>
      <w:r w:rsidR="00CB3C75" w:rsidRPr="0040174F">
        <w:rPr>
          <w:rFonts w:cstheme="minorHAnsi"/>
        </w:rPr>
        <w:t>da</w:t>
      </w:r>
      <w:r w:rsidR="00CB3C75">
        <w:rPr>
          <w:rFonts w:cstheme="minorHAnsi"/>
        </w:rPr>
        <w:t>ns le cadre de la restructuration</w:t>
      </w:r>
      <w:r w:rsidR="00CB3C75" w:rsidRPr="0040174F">
        <w:rPr>
          <w:rFonts w:cstheme="minorHAnsi"/>
        </w:rPr>
        <w:t xml:space="preserve"> qui </w:t>
      </w:r>
      <w:r w:rsidR="00CB3C75">
        <w:rPr>
          <w:rFonts w:cstheme="minorHAnsi"/>
        </w:rPr>
        <w:t>a</w:t>
      </w:r>
      <w:r w:rsidR="00CB3C75" w:rsidRPr="0040174F">
        <w:rPr>
          <w:rFonts w:cstheme="minorHAnsi"/>
        </w:rPr>
        <w:t xml:space="preserve"> porté sur les biens immobiliers cités en référence, et édifiés sur un terrain d’assiette id</w:t>
      </w:r>
      <w:r w:rsidR="00CB3C75">
        <w:rPr>
          <w:rFonts w:cstheme="minorHAnsi"/>
        </w:rPr>
        <w:t>entifié au cadastre comme suit</w:t>
      </w:r>
      <w:r>
        <w:t> :</w:t>
      </w:r>
    </w:p>
    <w:p w14:paraId="453927D0" w14:textId="77777777" w:rsidR="00F36403" w:rsidRDefault="00F36403" w:rsidP="00F36403">
      <w:pPr>
        <w:spacing w:after="0"/>
        <w:jc w:val="both"/>
      </w:pPr>
    </w:p>
    <w:p w14:paraId="50057406" w14:textId="06613928" w:rsidR="00AB6D5C" w:rsidRDefault="00AB6D5C" w:rsidP="00F36403">
      <w:pPr>
        <w:spacing w:after="0"/>
        <w:jc w:val="both"/>
      </w:pPr>
    </w:p>
    <w:tbl>
      <w:tblPr>
        <w:tblW w:w="7934" w:type="dxa"/>
        <w:jc w:val="center"/>
        <w:tblCellMar>
          <w:left w:w="0" w:type="dxa"/>
          <w:right w:w="0" w:type="dxa"/>
        </w:tblCellMar>
        <w:tblLook w:val="04A0" w:firstRow="1" w:lastRow="0" w:firstColumn="1" w:lastColumn="0" w:noHBand="0" w:noVBand="1"/>
      </w:tblPr>
      <w:tblGrid>
        <w:gridCol w:w="1107"/>
        <w:gridCol w:w="1134"/>
        <w:gridCol w:w="3497"/>
        <w:gridCol w:w="2196"/>
      </w:tblGrid>
      <w:tr w:rsidR="004F662D" w14:paraId="53526C80" w14:textId="77777777" w:rsidTr="004F662D">
        <w:trPr>
          <w:cantSplit/>
          <w:jc w:val="center"/>
        </w:trPr>
        <w:tc>
          <w:tcPr>
            <w:tcW w:w="1107"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5FA0129B" w14:textId="77777777" w:rsidR="004F662D" w:rsidRDefault="004F662D">
            <w:pPr>
              <w:jc w:val="center"/>
              <w:rPr>
                <w:rFonts w:ascii="Verdana" w:hAnsi="Verdana"/>
                <w:sz w:val="17"/>
                <w:szCs w:val="17"/>
              </w:rPr>
            </w:pPr>
            <w:r>
              <w:rPr>
                <w:rFonts w:ascii="Verdana" w:hAnsi="Verdana"/>
                <w:sz w:val="17"/>
                <w:szCs w:val="17"/>
              </w:rPr>
              <w:t>Section</w:t>
            </w:r>
          </w:p>
        </w:tc>
        <w:tc>
          <w:tcPr>
            <w:tcW w:w="1134"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14:paraId="1AF6A7D1" w14:textId="77777777" w:rsidR="004F662D" w:rsidRDefault="004F662D">
            <w:pPr>
              <w:jc w:val="center"/>
              <w:rPr>
                <w:rFonts w:ascii="Verdana" w:hAnsi="Verdana"/>
                <w:sz w:val="17"/>
                <w:szCs w:val="17"/>
              </w:rPr>
            </w:pPr>
            <w:r>
              <w:rPr>
                <w:rFonts w:ascii="Verdana" w:hAnsi="Verdana"/>
                <w:sz w:val="17"/>
                <w:szCs w:val="17"/>
              </w:rPr>
              <w:t>Numéro</w:t>
            </w:r>
          </w:p>
        </w:tc>
        <w:tc>
          <w:tcPr>
            <w:tcW w:w="3497"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14:paraId="0390B8CC" w14:textId="77777777" w:rsidR="004F662D" w:rsidRDefault="004F662D">
            <w:pPr>
              <w:jc w:val="center"/>
              <w:rPr>
                <w:rFonts w:ascii="Verdana" w:hAnsi="Verdana"/>
                <w:sz w:val="17"/>
                <w:szCs w:val="17"/>
              </w:rPr>
            </w:pPr>
            <w:r>
              <w:rPr>
                <w:rFonts w:ascii="Verdana" w:hAnsi="Verdana"/>
                <w:sz w:val="17"/>
                <w:szCs w:val="17"/>
              </w:rPr>
              <w:t>Lieudit</w:t>
            </w:r>
          </w:p>
        </w:tc>
        <w:tc>
          <w:tcPr>
            <w:tcW w:w="2196"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14:paraId="620E229B" w14:textId="77777777" w:rsidR="004F662D" w:rsidRDefault="004F662D">
            <w:pPr>
              <w:jc w:val="center"/>
              <w:rPr>
                <w:rFonts w:ascii="Verdana" w:hAnsi="Verdana"/>
                <w:sz w:val="17"/>
                <w:szCs w:val="17"/>
              </w:rPr>
            </w:pPr>
            <w:r>
              <w:rPr>
                <w:rFonts w:ascii="Verdana" w:hAnsi="Verdana"/>
                <w:sz w:val="17"/>
                <w:szCs w:val="17"/>
              </w:rPr>
              <w:t>Contenance</w:t>
            </w:r>
          </w:p>
        </w:tc>
      </w:tr>
      <w:tr w:rsidR="004F662D" w14:paraId="549A163E" w14:textId="77777777" w:rsidTr="004F662D">
        <w:trPr>
          <w:cantSplit/>
          <w:trHeight w:val="243"/>
          <w:jc w:val="center"/>
        </w:trPr>
        <w:tc>
          <w:tcPr>
            <w:tcW w:w="110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1C193C53" w14:textId="77777777" w:rsidR="004F662D" w:rsidRDefault="004F662D">
            <w:pPr>
              <w:rPr>
                <w:rFonts w:ascii="Verdana" w:hAnsi="Verdana"/>
                <w:sz w:val="17"/>
                <w:szCs w:val="17"/>
              </w:rPr>
            </w:pPr>
          </w:p>
        </w:tc>
        <w:tc>
          <w:tcPr>
            <w:tcW w:w="1134"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F2BFD1E" w14:textId="77777777" w:rsidR="004F662D" w:rsidRDefault="004F662D">
            <w:pPr>
              <w:spacing w:after="0"/>
              <w:rPr>
                <w:sz w:val="20"/>
                <w:szCs w:val="20"/>
                <w:lang w:eastAsia="fr-FR"/>
              </w:rPr>
            </w:pPr>
          </w:p>
        </w:tc>
        <w:tc>
          <w:tcPr>
            <w:tcW w:w="349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59A2DE2" w14:textId="77777777" w:rsidR="004F662D" w:rsidRDefault="004F662D">
            <w:pPr>
              <w:spacing w:after="0"/>
              <w:rPr>
                <w:sz w:val="20"/>
                <w:szCs w:val="20"/>
                <w:lang w:eastAsia="fr-FR"/>
              </w:rPr>
            </w:pPr>
          </w:p>
        </w:tc>
        <w:tc>
          <w:tcPr>
            <w:tcW w:w="219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6DF039B" w14:textId="77777777" w:rsidR="004F662D" w:rsidRDefault="004F662D">
            <w:pPr>
              <w:spacing w:after="0"/>
              <w:rPr>
                <w:sz w:val="20"/>
                <w:szCs w:val="20"/>
                <w:lang w:eastAsia="fr-FR"/>
              </w:rPr>
            </w:pPr>
          </w:p>
        </w:tc>
      </w:tr>
    </w:tbl>
    <w:p w14:paraId="5ADA71DF" w14:textId="77777777" w:rsidR="004F662D" w:rsidRDefault="004F662D" w:rsidP="00F36403">
      <w:pPr>
        <w:spacing w:after="0"/>
        <w:jc w:val="both"/>
      </w:pPr>
    </w:p>
    <w:p w14:paraId="274373F0" w14:textId="77777777" w:rsidR="00F36403" w:rsidRDefault="00F36403" w:rsidP="00F36403">
      <w:pPr>
        <w:spacing w:after="0"/>
        <w:jc w:val="both"/>
      </w:pPr>
    </w:p>
    <w:p w14:paraId="487870E5" w14:textId="73626F45" w:rsidR="00AB6D5C" w:rsidRDefault="004F662D" w:rsidP="00F36403">
      <w:pPr>
        <w:spacing w:after="0"/>
        <w:jc w:val="both"/>
      </w:pPr>
      <w:r>
        <w:t>C</w:t>
      </w:r>
      <w:r w:rsidR="00EA684D" w:rsidRPr="004A0218">
        <w:t>ertifie</w:t>
      </w:r>
      <w:r>
        <w:t>, selon les informations et documents à ma disposition,</w:t>
      </w:r>
      <w:r w:rsidR="001A7A57">
        <w:t xml:space="preserve"> ce qui suit</w:t>
      </w:r>
      <w:r w:rsidR="00AB6D5C">
        <w:t> :</w:t>
      </w:r>
    </w:p>
    <w:bookmarkEnd w:id="1"/>
    <w:p w14:paraId="20FE7F7B" w14:textId="24A6FB9F" w:rsidR="00F36403" w:rsidRDefault="00F36403" w:rsidP="00F36403">
      <w:pPr>
        <w:spacing w:after="0"/>
        <w:jc w:val="both"/>
      </w:pPr>
    </w:p>
    <w:p w14:paraId="350FDA5B" w14:textId="5739A47E" w:rsidR="002C7F3A" w:rsidRDefault="002C7F3A" w:rsidP="002C7F3A">
      <w:pPr>
        <w:pStyle w:val="Heading2"/>
        <w:numPr>
          <w:ilvl w:val="0"/>
          <w:numId w:val="11"/>
        </w:numPr>
      </w:pPr>
      <w:r>
        <w:t>Immeuble de référence</w:t>
      </w:r>
    </w:p>
    <w:p w14:paraId="61CC0B11" w14:textId="541DF43F" w:rsidR="002C7F3A" w:rsidRDefault="002C7F3A" w:rsidP="00F36403">
      <w:pPr>
        <w:spacing w:after="0"/>
        <w:jc w:val="both"/>
      </w:pPr>
    </w:p>
    <w:p w14:paraId="795B7F68" w14:textId="2A826E12" w:rsidR="002C7F3A" w:rsidRDefault="002C7F3A" w:rsidP="002C7F3A">
      <w:pPr>
        <w:spacing w:after="0"/>
        <w:jc w:val="both"/>
        <w:rPr>
          <w:color w:val="FF0000"/>
        </w:rPr>
      </w:pPr>
      <w:r w:rsidRPr="00F36403">
        <w:rPr>
          <w:color w:val="FF0000"/>
        </w:rPr>
        <w:t>[</w:t>
      </w:r>
      <w:r w:rsidRPr="00F7095F">
        <w:rPr>
          <w:i/>
          <w:color w:val="FF0000"/>
          <w:u w:val="single"/>
        </w:rPr>
        <w:t>Instructions</w:t>
      </w:r>
      <w:r w:rsidRPr="00F7095F">
        <w:rPr>
          <w:i/>
          <w:color w:val="FF0000"/>
        </w:rPr>
        <w:t> :</w:t>
      </w:r>
      <w:r>
        <w:rPr>
          <w:color w:val="FF0000"/>
        </w:rPr>
        <w:t xml:space="preserve"> </w:t>
      </w:r>
      <w:r w:rsidRPr="00F36403">
        <w:rPr>
          <w:i/>
          <w:color w:val="FF0000"/>
        </w:rPr>
        <w:t>Ne conserver que le paragraphe pertinent et supprimer l</w:t>
      </w:r>
      <w:r w:rsidR="004F662D">
        <w:rPr>
          <w:i/>
          <w:color w:val="FF0000"/>
        </w:rPr>
        <w:t xml:space="preserve">es </w:t>
      </w:r>
      <w:r w:rsidRPr="00F36403">
        <w:rPr>
          <w:i/>
          <w:color w:val="FF0000"/>
        </w:rPr>
        <w:t>autre</w:t>
      </w:r>
      <w:r w:rsidR="004F662D">
        <w:rPr>
          <w:i/>
          <w:color w:val="FF0000"/>
        </w:rPr>
        <w:t>s</w:t>
      </w:r>
      <w:r w:rsidRPr="00F36403">
        <w:rPr>
          <w:i/>
          <w:color w:val="FF0000"/>
        </w:rPr>
        <w:t xml:space="preserve"> paragraphe</w:t>
      </w:r>
      <w:r w:rsidR="004F662D">
        <w:rPr>
          <w:i/>
          <w:color w:val="FF0000"/>
        </w:rPr>
        <w:t>s</w:t>
      </w:r>
      <w:r w:rsidRPr="00F36403">
        <w:rPr>
          <w:color w:val="FF0000"/>
        </w:rPr>
        <w:t>]</w:t>
      </w:r>
    </w:p>
    <w:p w14:paraId="1C3005CE" w14:textId="77777777" w:rsidR="002C7F3A" w:rsidRDefault="002C7F3A" w:rsidP="00F36403">
      <w:pPr>
        <w:spacing w:after="0"/>
        <w:jc w:val="both"/>
      </w:pPr>
    </w:p>
    <w:p w14:paraId="5D70215A" w14:textId="19544C57" w:rsidR="002C7F3A" w:rsidRDefault="002C7F3A" w:rsidP="00F36403">
      <w:pPr>
        <w:spacing w:after="0"/>
        <w:jc w:val="both"/>
      </w:pPr>
      <w:r>
        <w:t>L’immeuble dont dépendent les biens cités en référence est constitu</w:t>
      </w:r>
      <w:r w:rsidR="00D43B72">
        <w:t>é</w:t>
      </w:r>
      <w:r>
        <w:t xml:space="preserve"> d’un seul bâtiment</w:t>
      </w:r>
      <w:r w:rsidR="001A7A57">
        <w:t>.</w:t>
      </w:r>
    </w:p>
    <w:p w14:paraId="520157CF" w14:textId="18926E81" w:rsidR="001A7A57" w:rsidRDefault="001A7A57" w:rsidP="00F36403">
      <w:pPr>
        <w:spacing w:after="0"/>
        <w:jc w:val="both"/>
      </w:pPr>
    </w:p>
    <w:p w14:paraId="44A5F739" w14:textId="1BB65F48" w:rsidR="001A7A57" w:rsidRDefault="001A7A57" w:rsidP="00F36403">
      <w:pPr>
        <w:spacing w:after="0"/>
        <w:jc w:val="both"/>
      </w:pPr>
      <w:r>
        <w:t xml:space="preserve">En conséquence, et pour les besoins de la présente attestation, l’ampleur des travaux </w:t>
      </w:r>
      <w:r w:rsidR="007A5D6B">
        <w:t xml:space="preserve">a été </w:t>
      </w:r>
      <w:r>
        <w:t xml:space="preserve">appréciée au </w:t>
      </w:r>
      <w:r w:rsidR="004F662D">
        <w:t>regard</w:t>
      </w:r>
      <w:r>
        <w:t xml:space="preserve"> de ce bâtiment. </w:t>
      </w:r>
    </w:p>
    <w:p w14:paraId="1C5EECC0" w14:textId="00AD469D" w:rsidR="002C7F3A" w:rsidRDefault="002C7F3A" w:rsidP="00F36403">
      <w:pPr>
        <w:spacing w:after="0"/>
        <w:jc w:val="both"/>
      </w:pPr>
    </w:p>
    <w:p w14:paraId="48BCB3C2" w14:textId="77777777" w:rsidR="002C7F3A" w:rsidRPr="00F36403" w:rsidRDefault="002C7F3A" w:rsidP="002C7F3A">
      <w:pPr>
        <w:spacing w:after="0"/>
        <w:jc w:val="both"/>
        <w:rPr>
          <w:rFonts w:cstheme="minorHAnsi"/>
          <w:color w:val="FF0000"/>
        </w:rPr>
      </w:pPr>
      <w:r w:rsidRPr="00F36403">
        <w:rPr>
          <w:rFonts w:cstheme="minorHAnsi"/>
          <w:color w:val="FF0000"/>
        </w:rPr>
        <w:t>[</w:t>
      </w:r>
      <w:r w:rsidRPr="00F36403">
        <w:rPr>
          <w:rFonts w:cstheme="minorHAnsi"/>
          <w:i/>
          <w:color w:val="FF0000"/>
        </w:rPr>
        <w:t>Ou</w:t>
      </w:r>
      <w:r w:rsidRPr="00F36403">
        <w:rPr>
          <w:rFonts w:cstheme="minorHAnsi"/>
          <w:color w:val="FF0000"/>
        </w:rPr>
        <w:t>]</w:t>
      </w:r>
    </w:p>
    <w:p w14:paraId="127AA5BE" w14:textId="2A57DAD4" w:rsidR="002C7F3A" w:rsidRDefault="002C7F3A" w:rsidP="00F36403">
      <w:pPr>
        <w:spacing w:after="0"/>
        <w:jc w:val="both"/>
      </w:pPr>
    </w:p>
    <w:p w14:paraId="31307365" w14:textId="77777777" w:rsidR="001A7A57" w:rsidRDefault="00D43B72" w:rsidP="001A7A57">
      <w:pPr>
        <w:spacing w:after="0"/>
        <w:jc w:val="both"/>
      </w:pPr>
      <w:r>
        <w:t>L’immeuble dont dépendent les biens cités en référence est constitué de plusieurs bâtiments</w:t>
      </w:r>
      <w:r w:rsidR="001A7A57">
        <w:t>.</w:t>
      </w:r>
    </w:p>
    <w:p w14:paraId="4A606434" w14:textId="77777777" w:rsidR="001A7A57" w:rsidRDefault="001A7A57" w:rsidP="001A7A57">
      <w:pPr>
        <w:spacing w:after="0"/>
        <w:jc w:val="both"/>
      </w:pPr>
    </w:p>
    <w:p w14:paraId="67229668" w14:textId="43DFFA83" w:rsidR="001A7A57" w:rsidRDefault="001A7A57" w:rsidP="00F36403">
      <w:pPr>
        <w:spacing w:after="0"/>
        <w:jc w:val="both"/>
      </w:pPr>
      <w:r>
        <w:t xml:space="preserve">Ces bâtiments communiquent entre eux </w:t>
      </w:r>
      <w:r w:rsidR="00D43B72">
        <w:t>horizontalement et verticalement</w:t>
      </w:r>
      <w:r>
        <w:t xml:space="preserve"> et </w:t>
      </w:r>
      <w:r w:rsidR="00DD2086">
        <w:t>disposent</w:t>
      </w:r>
      <w:r>
        <w:t xml:space="preserve"> des mêmes issues sur la voie publique.</w:t>
      </w:r>
    </w:p>
    <w:p w14:paraId="5D0F4E0F" w14:textId="2F32858B" w:rsidR="007A5D6B" w:rsidRDefault="007A5D6B" w:rsidP="00F36403">
      <w:pPr>
        <w:spacing w:after="0"/>
        <w:jc w:val="both"/>
      </w:pPr>
    </w:p>
    <w:p w14:paraId="0A7E6982" w14:textId="1DD87AF2" w:rsidR="007A5D6B" w:rsidRDefault="007A5D6B" w:rsidP="007A5D6B">
      <w:pPr>
        <w:spacing w:after="0"/>
        <w:jc w:val="both"/>
      </w:pPr>
      <w:r>
        <w:t>En conséquence, et pour les besoins de la présente attestation, l’ampleur des travaux a été appréciée</w:t>
      </w:r>
      <w:r w:rsidR="001A19D3">
        <w:t>, au global,</w:t>
      </w:r>
      <w:r>
        <w:t xml:space="preserve"> en prenant en compte l’ensemble de ces bâtiments. </w:t>
      </w:r>
    </w:p>
    <w:p w14:paraId="25330E86" w14:textId="77831A41" w:rsidR="002C7F3A" w:rsidRDefault="002C7F3A" w:rsidP="00F36403">
      <w:pPr>
        <w:spacing w:after="0"/>
        <w:jc w:val="both"/>
      </w:pPr>
    </w:p>
    <w:p w14:paraId="7ADE3562" w14:textId="77777777" w:rsidR="00E944CC" w:rsidRPr="00F36403" w:rsidRDefault="00E944CC" w:rsidP="00E944CC">
      <w:pPr>
        <w:spacing w:after="0"/>
        <w:jc w:val="both"/>
        <w:rPr>
          <w:rFonts w:cstheme="minorHAnsi"/>
          <w:color w:val="FF0000"/>
        </w:rPr>
      </w:pPr>
      <w:r w:rsidRPr="00F36403">
        <w:rPr>
          <w:rFonts w:cstheme="minorHAnsi"/>
          <w:color w:val="FF0000"/>
        </w:rPr>
        <w:lastRenderedPageBreak/>
        <w:t>[</w:t>
      </w:r>
      <w:r w:rsidRPr="00F36403">
        <w:rPr>
          <w:rFonts w:cstheme="minorHAnsi"/>
          <w:i/>
          <w:color w:val="FF0000"/>
        </w:rPr>
        <w:t>Ou</w:t>
      </w:r>
      <w:r w:rsidRPr="00F36403">
        <w:rPr>
          <w:rFonts w:cstheme="minorHAnsi"/>
          <w:color w:val="FF0000"/>
        </w:rPr>
        <w:t>]</w:t>
      </w:r>
    </w:p>
    <w:p w14:paraId="39B2EFC1" w14:textId="77777777" w:rsidR="00E944CC" w:rsidRDefault="00E944CC" w:rsidP="00E944CC">
      <w:pPr>
        <w:spacing w:after="0"/>
        <w:jc w:val="both"/>
      </w:pPr>
    </w:p>
    <w:p w14:paraId="20A4A265" w14:textId="4D586DCE" w:rsidR="00E944CC" w:rsidRDefault="00E944CC" w:rsidP="00E944CC">
      <w:pPr>
        <w:spacing w:after="0"/>
        <w:jc w:val="both"/>
      </w:pPr>
      <w:r>
        <w:t xml:space="preserve">L’immeuble dont dépendent les biens cités en référence est </w:t>
      </w:r>
      <w:r w:rsidR="00AF7AA7">
        <w:t>intégré dans un ensemble immobilier</w:t>
      </w:r>
      <w:r>
        <w:t>.</w:t>
      </w:r>
    </w:p>
    <w:p w14:paraId="66F6CA04" w14:textId="77777777" w:rsidR="00E944CC" w:rsidRDefault="00E944CC" w:rsidP="00E944CC">
      <w:pPr>
        <w:spacing w:after="0"/>
        <w:jc w:val="both"/>
      </w:pPr>
    </w:p>
    <w:p w14:paraId="24B0E6AD" w14:textId="30FB56EB" w:rsidR="00E944CC" w:rsidRDefault="00AF7AA7" w:rsidP="00E944CC">
      <w:pPr>
        <w:spacing w:after="0"/>
        <w:jc w:val="both"/>
      </w:pPr>
      <w:r>
        <w:t xml:space="preserve">L’immeuble ne </w:t>
      </w:r>
      <w:r w:rsidR="00E944CC">
        <w:t>communique</w:t>
      </w:r>
      <w:r>
        <w:t xml:space="preserve"> pas (que ce soit </w:t>
      </w:r>
      <w:r w:rsidR="00E944CC">
        <w:t xml:space="preserve">horizontalement </w:t>
      </w:r>
      <w:r>
        <w:t>ou verticalement) avec les autres bâtiment</w:t>
      </w:r>
      <w:r w:rsidR="00C0198C">
        <w:t>s</w:t>
      </w:r>
      <w:r>
        <w:t xml:space="preserve"> composant ledit ensemble immobilier e</w:t>
      </w:r>
      <w:r w:rsidR="00E944CC">
        <w:t xml:space="preserve">t </w:t>
      </w:r>
      <w:r>
        <w:t xml:space="preserve">ne </w:t>
      </w:r>
      <w:r w:rsidR="00E944CC">
        <w:t>dispose</w:t>
      </w:r>
      <w:r>
        <w:t xml:space="preserve"> pas des</w:t>
      </w:r>
      <w:r w:rsidR="00E944CC">
        <w:t xml:space="preserve"> mêmes issues sur la voie publique</w:t>
      </w:r>
      <w:r>
        <w:t xml:space="preserve"> que </w:t>
      </w:r>
      <w:r w:rsidR="002D7B2A">
        <w:t>c</w:t>
      </w:r>
      <w:r>
        <w:t>es autres bâtiments</w:t>
      </w:r>
      <w:r w:rsidR="00E944CC">
        <w:t>.</w:t>
      </w:r>
    </w:p>
    <w:p w14:paraId="318E51EA" w14:textId="77777777" w:rsidR="00E944CC" w:rsidRDefault="00E944CC" w:rsidP="00E944CC">
      <w:pPr>
        <w:spacing w:after="0"/>
        <w:jc w:val="both"/>
      </w:pPr>
    </w:p>
    <w:p w14:paraId="3BE95A65" w14:textId="0CB6B53C" w:rsidR="00E944CC" w:rsidRDefault="00E944CC" w:rsidP="00E944CC">
      <w:pPr>
        <w:spacing w:after="0"/>
        <w:jc w:val="both"/>
      </w:pPr>
      <w:r>
        <w:t xml:space="preserve">En conséquence, et pour les besoins de la présente attestation, l’ampleur des travaux a été appréciée, au </w:t>
      </w:r>
      <w:r w:rsidR="00AF7AA7">
        <w:t>regard du seul immeuble dont dépendent les biens cités en référence</w:t>
      </w:r>
      <w:r>
        <w:t>.</w:t>
      </w:r>
    </w:p>
    <w:p w14:paraId="7B931B22" w14:textId="5584DA5E" w:rsidR="00E944CC" w:rsidRDefault="00E944CC" w:rsidP="00F36403">
      <w:pPr>
        <w:spacing w:after="0"/>
        <w:jc w:val="both"/>
      </w:pPr>
    </w:p>
    <w:p w14:paraId="4AAA4B6F" w14:textId="51926EA4" w:rsidR="00CB3C75" w:rsidRDefault="00CB3C75" w:rsidP="00CB3C75">
      <w:pPr>
        <w:pStyle w:val="Heading2"/>
        <w:numPr>
          <w:ilvl w:val="0"/>
          <w:numId w:val="11"/>
        </w:numPr>
      </w:pPr>
      <w:r>
        <w:t>Autorisations d’urbanisme obtenues par [</w:t>
      </w:r>
      <w:r w:rsidRPr="00CB3C75">
        <w:rPr>
          <w:highlight w:val="yellow"/>
        </w:rPr>
        <w:t>nom de la société</w:t>
      </w:r>
      <w:r>
        <w:t>]</w:t>
      </w:r>
    </w:p>
    <w:p w14:paraId="021CB267" w14:textId="77777777" w:rsidR="00CB3C75" w:rsidRDefault="00CB3C75" w:rsidP="00CB3C75">
      <w:pPr>
        <w:spacing w:after="0"/>
        <w:jc w:val="both"/>
      </w:pPr>
    </w:p>
    <w:p w14:paraId="21F4D211" w14:textId="2DA5438E" w:rsidR="00CB3C75" w:rsidRPr="008126D0" w:rsidRDefault="00CB3C75" w:rsidP="00CB3C75">
      <w:pPr>
        <w:pStyle w:val="Heading2"/>
        <w:numPr>
          <w:ilvl w:val="1"/>
          <w:numId w:val="11"/>
        </w:numPr>
        <w:rPr>
          <w:rFonts w:ascii="Arial" w:hAnsi="Arial" w:cs="Arial"/>
          <w:sz w:val="22"/>
          <w:szCs w:val="22"/>
        </w:rPr>
      </w:pPr>
      <w:r w:rsidRPr="00221D31">
        <w:t>Permis de construire n°</w:t>
      </w:r>
      <w:r>
        <w:t>[</w:t>
      </w:r>
      <w:r w:rsidRPr="00CB3C75">
        <w:rPr>
          <w:highlight w:val="yellow"/>
        </w:rPr>
        <w:t>numéro</w:t>
      </w:r>
      <w:r>
        <w:t>]</w:t>
      </w:r>
      <w:r w:rsidRPr="00221D31">
        <w:t xml:space="preserve"> du </w:t>
      </w:r>
      <w:r>
        <w:t>[</w:t>
      </w:r>
      <w:r w:rsidRPr="00CB3C75">
        <w:rPr>
          <w:highlight w:val="yellow"/>
        </w:rPr>
        <w:t>date</w:t>
      </w:r>
      <w:r>
        <w:t>]</w:t>
      </w:r>
    </w:p>
    <w:p w14:paraId="482B95F1" w14:textId="77777777" w:rsidR="00CB3C75" w:rsidRPr="00221D31" w:rsidRDefault="00CB3C75" w:rsidP="00CB3C75">
      <w:pPr>
        <w:spacing w:after="0"/>
        <w:jc w:val="both"/>
      </w:pPr>
    </w:p>
    <w:p w14:paraId="4B241F22" w14:textId="75FC3C2E" w:rsidR="00CB3C75" w:rsidRPr="00221D31" w:rsidRDefault="00CB3C75" w:rsidP="00CB3C75">
      <w:pPr>
        <w:spacing w:after="0"/>
        <w:jc w:val="both"/>
      </w:pPr>
      <w:r w:rsidRPr="00221D31">
        <w:t xml:space="preserve">Madame la Maire de PARIS a délivré un arrêté de permis de construire le </w:t>
      </w:r>
      <w:r>
        <w:t>[</w:t>
      </w:r>
      <w:r w:rsidRPr="00CB3C75">
        <w:rPr>
          <w:highlight w:val="yellow"/>
        </w:rPr>
        <w:t>date</w:t>
      </w:r>
      <w:r>
        <w:t>]</w:t>
      </w:r>
      <w:r w:rsidRPr="00221D31">
        <w:t xml:space="preserve"> sous le numéro °</w:t>
      </w:r>
      <w:r>
        <w:t>[</w:t>
      </w:r>
      <w:r w:rsidRPr="00CB3C75">
        <w:rPr>
          <w:highlight w:val="yellow"/>
        </w:rPr>
        <w:t>numéro</w:t>
      </w:r>
      <w:r>
        <w:t>]</w:t>
      </w:r>
      <w:r w:rsidRPr="00221D31">
        <w:t xml:space="preserve"> autorisant :</w:t>
      </w:r>
    </w:p>
    <w:p w14:paraId="43CB3A5C" w14:textId="77777777" w:rsidR="00CB3C75" w:rsidRPr="00221D31" w:rsidRDefault="00CB3C75" w:rsidP="00CB3C75">
      <w:pPr>
        <w:spacing w:after="0"/>
        <w:jc w:val="both"/>
      </w:pPr>
    </w:p>
    <w:p w14:paraId="668AC18C" w14:textId="46D9F033" w:rsidR="00CB3C75" w:rsidRPr="00221D31" w:rsidRDefault="00CB3C75" w:rsidP="00CB3C75">
      <w:pPr>
        <w:spacing w:after="0"/>
        <w:ind w:left="360"/>
        <w:jc w:val="both"/>
        <w:rPr>
          <w:i/>
        </w:rPr>
      </w:pPr>
      <w:r w:rsidRPr="00221D31">
        <w:t>« </w:t>
      </w:r>
      <w:r w:rsidRPr="00CB3C75">
        <w:rPr>
          <w:i/>
          <w:highlight w:val="yellow"/>
        </w:rPr>
        <w:t>XXXX.</w:t>
      </w:r>
      <w:r w:rsidRPr="00221D31">
        <w:rPr>
          <w:i/>
        </w:rPr>
        <w:t>».</w:t>
      </w:r>
    </w:p>
    <w:p w14:paraId="743007CD" w14:textId="77777777" w:rsidR="00CB3C75" w:rsidRPr="00221D31" w:rsidRDefault="00CB3C75" w:rsidP="00CB3C75">
      <w:pPr>
        <w:spacing w:after="0"/>
        <w:jc w:val="both"/>
      </w:pPr>
    </w:p>
    <w:p w14:paraId="7C4D0A7E" w14:textId="77777777" w:rsidR="00CB3C75" w:rsidRPr="00221D31" w:rsidRDefault="00CB3C75" w:rsidP="00CB3C75">
      <w:pPr>
        <w:pStyle w:val="Heading2"/>
        <w:numPr>
          <w:ilvl w:val="1"/>
          <w:numId w:val="11"/>
        </w:numPr>
      </w:pPr>
      <w:r w:rsidRPr="00221D31">
        <w:t>Achèvement et conformité des travaux</w:t>
      </w:r>
    </w:p>
    <w:p w14:paraId="3298918A" w14:textId="77777777" w:rsidR="00CB3C75" w:rsidRPr="008126D0" w:rsidRDefault="00CB3C75" w:rsidP="00CB3C75">
      <w:pPr>
        <w:spacing w:after="0"/>
        <w:jc w:val="both"/>
      </w:pPr>
    </w:p>
    <w:p w14:paraId="22142816" w14:textId="31E09E2F" w:rsidR="00CB3C75" w:rsidRDefault="00CB3C75" w:rsidP="00CB3C75">
      <w:pPr>
        <w:spacing w:after="0"/>
        <w:jc w:val="both"/>
      </w:pPr>
      <w:r w:rsidRPr="008126D0">
        <w:t xml:space="preserve">La déclaration attestant de l'achèvement et de la conformité des travaux (DAACT) </w:t>
      </w:r>
      <w:r>
        <w:t>n’a pas encore été déposée</w:t>
      </w:r>
      <w:r w:rsidRPr="008126D0">
        <w:t xml:space="preserve">. </w:t>
      </w:r>
    </w:p>
    <w:p w14:paraId="112139C2" w14:textId="42B1824C" w:rsidR="00CB3C75" w:rsidRDefault="00CB3C75" w:rsidP="00CB3C75">
      <w:pPr>
        <w:spacing w:after="0"/>
        <w:jc w:val="both"/>
      </w:pPr>
    </w:p>
    <w:p w14:paraId="5605F63C" w14:textId="77777777" w:rsidR="00CB3C75" w:rsidRPr="00F36403" w:rsidRDefault="00CB3C75" w:rsidP="00CB3C75">
      <w:pPr>
        <w:spacing w:after="0"/>
        <w:jc w:val="both"/>
        <w:rPr>
          <w:rFonts w:cstheme="minorHAnsi"/>
          <w:color w:val="FF0000"/>
        </w:rPr>
      </w:pPr>
      <w:r w:rsidRPr="00F36403">
        <w:rPr>
          <w:rFonts w:cstheme="minorHAnsi"/>
          <w:color w:val="FF0000"/>
        </w:rPr>
        <w:t>[</w:t>
      </w:r>
      <w:r w:rsidRPr="00F36403">
        <w:rPr>
          <w:rFonts w:cstheme="minorHAnsi"/>
          <w:i/>
          <w:color w:val="FF0000"/>
        </w:rPr>
        <w:t>Ou</w:t>
      </w:r>
      <w:r w:rsidRPr="00F36403">
        <w:rPr>
          <w:rFonts w:cstheme="minorHAnsi"/>
          <w:color w:val="FF0000"/>
        </w:rPr>
        <w:t>]</w:t>
      </w:r>
    </w:p>
    <w:p w14:paraId="2EE067A4" w14:textId="2EF95578" w:rsidR="00CB3C75" w:rsidRDefault="00CB3C75" w:rsidP="00CB3C75">
      <w:pPr>
        <w:spacing w:after="0"/>
        <w:jc w:val="both"/>
      </w:pPr>
    </w:p>
    <w:p w14:paraId="6809624A" w14:textId="42A50AB7" w:rsidR="00CB3C75" w:rsidRDefault="00CB3C75" w:rsidP="00CB3C75">
      <w:pPr>
        <w:spacing w:after="0"/>
        <w:jc w:val="both"/>
      </w:pPr>
      <w:r w:rsidRPr="008126D0">
        <w:t xml:space="preserve">La déclaration attestant de l'achèvement et de la conformité des travaux (DAACT) </w:t>
      </w:r>
      <w:r>
        <w:t>a été déposée le [</w:t>
      </w:r>
      <w:r w:rsidRPr="00CB3C75">
        <w:rPr>
          <w:highlight w:val="yellow"/>
        </w:rPr>
        <w:t>date</w:t>
      </w:r>
      <w:r>
        <w:t>] et indique une date d’achèvement au [</w:t>
      </w:r>
      <w:r w:rsidRPr="00CB3C75">
        <w:rPr>
          <w:highlight w:val="yellow"/>
        </w:rPr>
        <w:t>date</w:t>
      </w:r>
      <w:r>
        <w:t>].</w:t>
      </w:r>
    </w:p>
    <w:p w14:paraId="7A529C5F" w14:textId="77777777" w:rsidR="00CB3C75" w:rsidRPr="008126D0" w:rsidRDefault="00CB3C75" w:rsidP="00CB3C75">
      <w:pPr>
        <w:spacing w:after="0"/>
        <w:jc w:val="both"/>
      </w:pPr>
    </w:p>
    <w:p w14:paraId="4E45D42F" w14:textId="77777777" w:rsidR="00CB3C75" w:rsidRPr="008126D0" w:rsidRDefault="00CB3C75" w:rsidP="00CB3C75">
      <w:pPr>
        <w:pStyle w:val="Heading2"/>
        <w:numPr>
          <w:ilvl w:val="0"/>
          <w:numId w:val="11"/>
        </w:numPr>
      </w:pPr>
      <w:r>
        <w:t>Réception des travaux de restructuration</w:t>
      </w:r>
    </w:p>
    <w:p w14:paraId="67E9E9A9" w14:textId="77777777" w:rsidR="00CB3C75" w:rsidRDefault="00CB3C75" w:rsidP="00CB3C75">
      <w:pPr>
        <w:spacing w:after="0"/>
        <w:jc w:val="both"/>
      </w:pPr>
    </w:p>
    <w:p w14:paraId="13B5E964" w14:textId="0D791679" w:rsidR="00CB3C75" w:rsidRDefault="00CB3C75" w:rsidP="00CB3C75">
      <w:pPr>
        <w:spacing w:after="0"/>
        <w:jc w:val="both"/>
      </w:pPr>
      <w:r>
        <w:t xml:space="preserve">Le procès-verbal de réception des travaux a été établi le [date]. </w:t>
      </w:r>
    </w:p>
    <w:p w14:paraId="44C75182" w14:textId="77777777" w:rsidR="00CB3C75" w:rsidRDefault="00CB3C75" w:rsidP="00CB3C75">
      <w:pPr>
        <w:spacing w:after="0"/>
        <w:jc w:val="both"/>
      </w:pPr>
    </w:p>
    <w:p w14:paraId="2D8EBA33" w14:textId="629D5370" w:rsidR="00CB3C75" w:rsidRDefault="00CB3C75" w:rsidP="00CB3C75">
      <w:pPr>
        <w:spacing w:after="0"/>
        <w:jc w:val="both"/>
      </w:pPr>
      <w:r>
        <w:t>Le procès-verbal de levée des réserves a été établi le [date].</w:t>
      </w:r>
    </w:p>
    <w:p w14:paraId="66FFE523" w14:textId="77777777" w:rsidR="00CB3C75" w:rsidRDefault="00CB3C75" w:rsidP="00F36403">
      <w:pPr>
        <w:spacing w:after="0"/>
        <w:jc w:val="both"/>
      </w:pPr>
    </w:p>
    <w:p w14:paraId="2482A9F8" w14:textId="54B7D956" w:rsidR="00F36403" w:rsidRDefault="00F36403" w:rsidP="00F36403">
      <w:pPr>
        <w:pStyle w:val="Heading2"/>
        <w:numPr>
          <w:ilvl w:val="0"/>
          <w:numId w:val="11"/>
        </w:numPr>
      </w:pPr>
      <w:r>
        <w:t>Constructions nouvelles</w:t>
      </w:r>
      <w:r w:rsidR="00DA58B6">
        <w:t> : démolition / reconstruction, extensions, surélévations</w:t>
      </w:r>
    </w:p>
    <w:p w14:paraId="1B85CEC4" w14:textId="77777777" w:rsidR="00F36403" w:rsidRDefault="00F36403" w:rsidP="00F36403">
      <w:pPr>
        <w:spacing w:after="0"/>
        <w:jc w:val="both"/>
      </w:pPr>
    </w:p>
    <w:p w14:paraId="6544A0BA" w14:textId="0541F25B" w:rsidR="00F36403" w:rsidRDefault="00F36403" w:rsidP="00F36403">
      <w:pPr>
        <w:spacing w:after="0"/>
        <w:jc w:val="both"/>
        <w:rPr>
          <w:color w:val="FF0000"/>
        </w:rPr>
      </w:pPr>
      <w:r w:rsidRPr="00F36403">
        <w:rPr>
          <w:color w:val="FF0000"/>
        </w:rPr>
        <w:t>[</w:t>
      </w:r>
      <w:r w:rsidR="00F7095F" w:rsidRPr="00F7095F">
        <w:rPr>
          <w:i/>
          <w:color w:val="FF0000"/>
          <w:u w:val="single"/>
        </w:rPr>
        <w:t>Instructions</w:t>
      </w:r>
      <w:r w:rsidR="00F7095F" w:rsidRPr="00F7095F">
        <w:rPr>
          <w:i/>
          <w:color w:val="FF0000"/>
        </w:rPr>
        <w:t> :</w:t>
      </w:r>
      <w:r w:rsidR="00F7095F">
        <w:rPr>
          <w:color w:val="FF0000"/>
        </w:rPr>
        <w:t xml:space="preserve"> </w:t>
      </w:r>
      <w:r w:rsidRPr="00F36403">
        <w:rPr>
          <w:i/>
          <w:color w:val="FF0000"/>
        </w:rPr>
        <w:t>Ne conserver que le paragraphe pertinent et supprimer l’autre paragraphe</w:t>
      </w:r>
      <w:r w:rsidRPr="00F36403">
        <w:rPr>
          <w:color w:val="FF0000"/>
        </w:rPr>
        <w:t>]</w:t>
      </w:r>
    </w:p>
    <w:p w14:paraId="23F1C127" w14:textId="77777777" w:rsidR="00F36403" w:rsidRPr="00F36403" w:rsidRDefault="00F36403" w:rsidP="00F36403">
      <w:pPr>
        <w:spacing w:after="0"/>
        <w:jc w:val="both"/>
        <w:rPr>
          <w:color w:val="FF0000"/>
        </w:rPr>
      </w:pPr>
    </w:p>
    <w:p w14:paraId="170ECF63" w14:textId="5EB4FD53" w:rsidR="00D30A2E" w:rsidRDefault="00CB3C75" w:rsidP="00F36403">
      <w:pPr>
        <w:spacing w:after="0"/>
        <w:jc w:val="both"/>
      </w:pPr>
      <w:r>
        <w:t xml:space="preserve">Les travaux ont conduit </w:t>
      </w:r>
      <w:r w:rsidR="003F783F" w:rsidRPr="004A0218">
        <w:t>à la production de constructions nouvelles</w:t>
      </w:r>
      <w:r w:rsidR="00D75A2C">
        <w:t>,</w:t>
      </w:r>
      <w:r w:rsidR="00F36403">
        <w:t xml:space="preserve"> consistant en</w:t>
      </w:r>
      <w:r w:rsidR="00D30A2E">
        <w:t xml:space="preserve"> [</w:t>
      </w:r>
      <w:r w:rsidR="00D30A2E" w:rsidRPr="00D30A2E">
        <w:rPr>
          <w:highlight w:val="yellow"/>
        </w:rPr>
        <w:t xml:space="preserve">préciser la nature des constructions nouvelles en </w:t>
      </w:r>
      <w:r w:rsidR="00D30A2E" w:rsidRPr="00F36403">
        <w:rPr>
          <w:highlight w:val="yellow"/>
        </w:rPr>
        <w:t>cause</w:t>
      </w:r>
      <w:r w:rsidR="00F36403" w:rsidRPr="00F36403">
        <w:rPr>
          <w:highlight w:val="yellow"/>
        </w:rPr>
        <w:t xml:space="preserve"> (i.e. démolition </w:t>
      </w:r>
      <w:r w:rsidR="00F36403" w:rsidRPr="00D30A2E">
        <w:rPr>
          <w:highlight w:val="yellow"/>
        </w:rPr>
        <w:t xml:space="preserve">/ reconstruction, extension(s) ou </w:t>
      </w:r>
      <w:r w:rsidR="00F36403" w:rsidRPr="00F36403">
        <w:rPr>
          <w:highlight w:val="yellow"/>
        </w:rPr>
        <w:t>surélévation(s))</w:t>
      </w:r>
      <w:r w:rsidR="00D30A2E">
        <w:t>].</w:t>
      </w:r>
    </w:p>
    <w:p w14:paraId="3A38128C" w14:textId="77777777" w:rsidR="00F36403" w:rsidRDefault="00F36403" w:rsidP="00F36403">
      <w:pPr>
        <w:spacing w:after="0"/>
        <w:jc w:val="both"/>
      </w:pPr>
    </w:p>
    <w:p w14:paraId="01AA68A2" w14:textId="142C5DA7" w:rsidR="001F6F6C" w:rsidRDefault="00D75A2C" w:rsidP="00F36403">
      <w:pPr>
        <w:spacing w:after="0"/>
        <w:jc w:val="both"/>
      </w:pPr>
      <w:r>
        <w:t xml:space="preserve">Les </w:t>
      </w:r>
      <w:r w:rsidR="00C464C7" w:rsidRPr="004A0218">
        <w:t>constructions nouvelles</w:t>
      </w:r>
      <w:r>
        <w:t xml:space="preserve"> </w:t>
      </w:r>
      <w:r w:rsidR="00D30A2E">
        <w:t xml:space="preserve">en question </w:t>
      </w:r>
      <w:r w:rsidR="00C464C7" w:rsidRPr="004A0218">
        <w:t>sont identifiée</w:t>
      </w:r>
      <w:r w:rsidR="00D30A2E">
        <w:t xml:space="preserve">s </w:t>
      </w:r>
      <w:r w:rsidR="003F783F" w:rsidRPr="004A0218">
        <w:t>sur le</w:t>
      </w:r>
      <w:r>
        <w:t xml:space="preserve"> plan</w:t>
      </w:r>
      <w:r w:rsidR="003F783F" w:rsidRPr="004A0218">
        <w:t xml:space="preserve"> ci-dessous</w:t>
      </w:r>
      <w:r>
        <w:t xml:space="preserve">. </w:t>
      </w:r>
    </w:p>
    <w:p w14:paraId="05118C83" w14:textId="77777777" w:rsidR="00F36403" w:rsidRDefault="00F36403" w:rsidP="00F36403">
      <w:pPr>
        <w:spacing w:after="0"/>
        <w:jc w:val="both"/>
      </w:pPr>
    </w:p>
    <w:p w14:paraId="3CF9947B" w14:textId="0C8BC1AC" w:rsidR="00D30A2E" w:rsidRDefault="00D30A2E" w:rsidP="00F36403">
      <w:pPr>
        <w:spacing w:after="0"/>
        <w:jc w:val="both"/>
      </w:pPr>
      <w:r>
        <w:t>[</w:t>
      </w:r>
      <w:r w:rsidRPr="00D30A2E">
        <w:rPr>
          <w:highlight w:val="yellow"/>
        </w:rPr>
        <w:t>Insertion d’un plan mettant en lumière les constructions nouvelles</w:t>
      </w:r>
      <w:r>
        <w:t>]</w:t>
      </w:r>
    </w:p>
    <w:p w14:paraId="6891A86B" w14:textId="6C3608B2" w:rsidR="00F36403" w:rsidRDefault="00F36403" w:rsidP="00F36403">
      <w:pPr>
        <w:spacing w:after="0"/>
        <w:jc w:val="both"/>
      </w:pPr>
    </w:p>
    <w:p w14:paraId="35F16DB8" w14:textId="23BDECD0" w:rsidR="00987132" w:rsidRDefault="00987132" w:rsidP="00F36403">
      <w:pPr>
        <w:spacing w:after="0"/>
        <w:jc w:val="both"/>
      </w:pPr>
      <w:r>
        <w:t xml:space="preserve">En conséquence, </w:t>
      </w:r>
      <w:r w:rsidR="00CB3C75">
        <w:rPr>
          <w:rFonts w:cstheme="minorHAnsi"/>
        </w:rPr>
        <w:t>les travaux</w:t>
      </w:r>
      <w:r>
        <w:rPr>
          <w:rFonts w:cstheme="minorHAnsi"/>
        </w:rPr>
        <w:t xml:space="preserve">, </w:t>
      </w:r>
      <w:r w:rsidR="00467091">
        <w:rPr>
          <w:rFonts w:cstheme="minorHAnsi"/>
        </w:rPr>
        <w:t xml:space="preserve">pour la partie portant </w:t>
      </w:r>
      <w:r>
        <w:rPr>
          <w:rFonts w:cstheme="minorHAnsi"/>
        </w:rPr>
        <w:t xml:space="preserve">sur ces constructions nouvelles, </w:t>
      </w:r>
      <w:r w:rsidR="00CB3C75">
        <w:rPr>
          <w:rFonts w:cstheme="minorHAnsi"/>
        </w:rPr>
        <w:t>ont conduit</w:t>
      </w:r>
      <w:r>
        <w:rPr>
          <w:rFonts w:cstheme="minorHAnsi"/>
        </w:rPr>
        <w:t xml:space="preserve"> à la production d’un immeuble neuf en application de l’article 257, I-2-2° du Code général des impôts, tel que précisé par les commentaires administratifs publiés au BOFiP sous la référence </w:t>
      </w:r>
      <w:r w:rsidRPr="00922577">
        <w:rPr>
          <w:rFonts w:cstheme="minorHAnsi"/>
        </w:rPr>
        <w:t>BOI-TVA-IMM-10-10-10-20-20140929</w:t>
      </w:r>
      <w:r>
        <w:rPr>
          <w:rFonts w:cstheme="minorHAnsi"/>
        </w:rPr>
        <w:t>.</w:t>
      </w:r>
    </w:p>
    <w:p w14:paraId="609022A7" w14:textId="77777777" w:rsidR="00987132" w:rsidRDefault="00987132" w:rsidP="00F36403">
      <w:pPr>
        <w:spacing w:after="0"/>
        <w:jc w:val="both"/>
      </w:pPr>
    </w:p>
    <w:p w14:paraId="17E53426" w14:textId="693AAA05" w:rsidR="00D30A2E" w:rsidRPr="00F36403" w:rsidRDefault="00F36403" w:rsidP="00F36403">
      <w:pPr>
        <w:spacing w:after="0"/>
        <w:jc w:val="both"/>
        <w:rPr>
          <w:rFonts w:cstheme="minorHAnsi"/>
          <w:color w:val="FF0000"/>
        </w:rPr>
      </w:pPr>
      <w:r w:rsidRPr="00F36403">
        <w:rPr>
          <w:rFonts w:cstheme="minorHAnsi"/>
          <w:color w:val="FF0000"/>
        </w:rPr>
        <w:t>[</w:t>
      </w:r>
      <w:r w:rsidRPr="00F36403">
        <w:rPr>
          <w:rFonts w:cstheme="minorHAnsi"/>
          <w:i/>
          <w:color w:val="FF0000"/>
        </w:rPr>
        <w:t>Ou</w:t>
      </w:r>
      <w:r w:rsidRPr="00F36403">
        <w:rPr>
          <w:rFonts w:cstheme="minorHAnsi"/>
          <w:color w:val="FF0000"/>
        </w:rPr>
        <w:t>]</w:t>
      </w:r>
    </w:p>
    <w:p w14:paraId="28638A42" w14:textId="77777777" w:rsidR="00F36403" w:rsidRDefault="00F36403" w:rsidP="00F36403">
      <w:pPr>
        <w:spacing w:after="0"/>
        <w:jc w:val="both"/>
      </w:pPr>
    </w:p>
    <w:p w14:paraId="0FAB70E8" w14:textId="5EF8BA96" w:rsidR="00F36403" w:rsidRDefault="00CB3C75" w:rsidP="00F36403">
      <w:pPr>
        <w:spacing w:after="0"/>
        <w:jc w:val="both"/>
        <w:rPr>
          <w:rFonts w:cstheme="minorHAnsi"/>
        </w:rPr>
      </w:pPr>
      <w:r>
        <w:t>Les travaux n’ont</w:t>
      </w:r>
      <w:r w:rsidR="00F36403">
        <w:t xml:space="preserve"> </w:t>
      </w:r>
      <w:r>
        <w:t>pas conduit</w:t>
      </w:r>
      <w:r w:rsidR="00F36403">
        <w:t xml:space="preserve"> pas </w:t>
      </w:r>
      <w:r w:rsidR="00F36403" w:rsidRPr="004A0218">
        <w:t>à la production de constructions nouvelles</w:t>
      </w:r>
      <w:r w:rsidR="00F36403">
        <w:t>.</w:t>
      </w:r>
    </w:p>
    <w:p w14:paraId="040A7791" w14:textId="2BDB5DFB" w:rsidR="00F7095F" w:rsidRPr="00900658" w:rsidRDefault="00F7095F" w:rsidP="00900658">
      <w:pPr>
        <w:spacing w:after="0"/>
        <w:jc w:val="both"/>
      </w:pPr>
    </w:p>
    <w:p w14:paraId="7B0D6C07" w14:textId="480EB30C" w:rsidR="00F36403" w:rsidRDefault="00F36403" w:rsidP="00F7095F">
      <w:pPr>
        <w:pStyle w:val="Heading2"/>
        <w:numPr>
          <w:ilvl w:val="0"/>
          <w:numId w:val="11"/>
        </w:numPr>
        <w:spacing w:before="0"/>
      </w:pPr>
      <w:r w:rsidRPr="00F7095F">
        <w:t>Trava</w:t>
      </w:r>
      <w:r w:rsidR="00F7095F" w:rsidRPr="00F7095F">
        <w:t>ux portant sur l’existant</w:t>
      </w:r>
    </w:p>
    <w:p w14:paraId="46A111D9" w14:textId="77777777" w:rsidR="00F7095F" w:rsidRPr="00F7095F" w:rsidRDefault="00F7095F" w:rsidP="00F7095F">
      <w:pPr>
        <w:spacing w:after="0"/>
      </w:pPr>
    </w:p>
    <w:p w14:paraId="333A3A5F" w14:textId="1F32D04E" w:rsidR="00F7095F" w:rsidRPr="00F7095F" w:rsidRDefault="00F7095F" w:rsidP="00F7095F">
      <w:pPr>
        <w:pStyle w:val="Heading2"/>
        <w:numPr>
          <w:ilvl w:val="1"/>
          <w:numId w:val="11"/>
        </w:numPr>
        <w:spacing w:before="0"/>
      </w:pPr>
      <w:r w:rsidRPr="00F7095F">
        <w:t>Elément</w:t>
      </w:r>
      <w:r>
        <w:t>s</w:t>
      </w:r>
      <w:r w:rsidRPr="00F7095F">
        <w:t xml:space="preserve"> de gros œuvre</w:t>
      </w:r>
    </w:p>
    <w:p w14:paraId="5EA307DD" w14:textId="21AE4CA2" w:rsidR="00F36403" w:rsidRDefault="00F36403" w:rsidP="00F36403">
      <w:pPr>
        <w:spacing w:after="0"/>
        <w:jc w:val="both"/>
        <w:rPr>
          <w:rFonts w:cstheme="minorHAnsi"/>
        </w:rPr>
      </w:pPr>
    </w:p>
    <w:p w14:paraId="36BEA47D" w14:textId="79A35E19" w:rsidR="00F7095F" w:rsidRDefault="00F7095F" w:rsidP="00F36403">
      <w:pPr>
        <w:spacing w:after="0"/>
        <w:jc w:val="both"/>
        <w:rPr>
          <w:rFonts w:cstheme="minorHAnsi"/>
        </w:rPr>
      </w:pPr>
      <w:r>
        <w:rPr>
          <w:rFonts w:cstheme="minorHAnsi"/>
        </w:rPr>
        <w:t>Pour les besoins de de ce paragraphe, sont entendus comme éléments de gros œuvre, les éléments suivants :</w:t>
      </w:r>
    </w:p>
    <w:p w14:paraId="0B5DEC7B" w14:textId="77777777" w:rsidR="00516541" w:rsidRDefault="00516541" w:rsidP="00516541">
      <w:pPr>
        <w:spacing w:after="0" w:line="240" w:lineRule="auto"/>
        <w:jc w:val="both"/>
        <w:rPr>
          <w:rFonts w:cstheme="minorHAnsi"/>
        </w:rPr>
      </w:pPr>
    </w:p>
    <w:p w14:paraId="6018410C" w14:textId="3C660DE2" w:rsidR="00F7095F" w:rsidRPr="004A0218" w:rsidRDefault="00F7095F"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l</w:t>
      </w:r>
      <w:r w:rsidRPr="004A0218">
        <w:rPr>
          <w:rFonts w:asciiTheme="minorHAnsi" w:hAnsiTheme="minorHAnsi" w:cstheme="minorHAnsi"/>
          <w:sz w:val="22"/>
          <w:szCs w:val="22"/>
          <w:lang w:val="fr-FR"/>
        </w:rPr>
        <w:t>es fondations</w:t>
      </w:r>
      <w:r>
        <w:rPr>
          <w:rFonts w:asciiTheme="minorHAnsi" w:hAnsiTheme="minorHAnsi" w:cstheme="minorHAnsi"/>
          <w:sz w:val="22"/>
          <w:szCs w:val="22"/>
          <w:lang w:val="fr-FR"/>
        </w:rPr>
        <w:t xml:space="preserve"> </w:t>
      </w:r>
      <w:r w:rsidRPr="004A0218">
        <w:rPr>
          <w:rFonts w:asciiTheme="minorHAnsi" w:hAnsiTheme="minorHAnsi" w:cstheme="minorHAnsi"/>
          <w:sz w:val="22"/>
          <w:szCs w:val="22"/>
          <w:lang w:val="fr-FR"/>
        </w:rPr>
        <w:t xml:space="preserve">; </w:t>
      </w:r>
    </w:p>
    <w:p w14:paraId="1D845EA0" w14:textId="624E90BD" w:rsidR="00F7095F" w:rsidRPr="004A0218" w:rsidRDefault="00F7095F"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l</w:t>
      </w:r>
      <w:r w:rsidRPr="004A0218">
        <w:rPr>
          <w:rFonts w:asciiTheme="minorHAnsi" w:hAnsiTheme="minorHAnsi" w:cstheme="minorHAnsi"/>
          <w:sz w:val="22"/>
          <w:szCs w:val="22"/>
          <w:lang w:val="fr-FR"/>
        </w:rPr>
        <w:t>es éléments hors fondations déterminant la résistance et la rigidité de l’ouvrage ;</w:t>
      </w:r>
    </w:p>
    <w:p w14:paraId="7A2EDDDD" w14:textId="504F0037" w:rsidR="00F7095F" w:rsidRPr="004A0218" w:rsidRDefault="00F7095F"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sidRPr="004A0218">
        <w:rPr>
          <w:rFonts w:asciiTheme="minorHAnsi" w:hAnsiTheme="minorHAnsi" w:cstheme="minorHAnsi"/>
          <w:sz w:val="22"/>
          <w:szCs w:val="22"/>
          <w:lang w:val="fr-FR"/>
        </w:rPr>
        <w:t>la consistance des façades hors ravalement.</w:t>
      </w:r>
    </w:p>
    <w:p w14:paraId="3C0A82FD" w14:textId="2099AD5A" w:rsidR="00F7095F" w:rsidRDefault="00F7095F" w:rsidP="00F36403">
      <w:pPr>
        <w:spacing w:after="0"/>
        <w:jc w:val="both"/>
        <w:rPr>
          <w:rFonts w:cstheme="minorHAnsi"/>
        </w:rPr>
      </w:pPr>
    </w:p>
    <w:p w14:paraId="429C0799" w14:textId="1240444F" w:rsidR="00F7095F" w:rsidRDefault="00F7095F" w:rsidP="00F36403">
      <w:pPr>
        <w:spacing w:after="0"/>
        <w:jc w:val="both"/>
        <w:rPr>
          <w:rFonts w:cstheme="minorHAnsi"/>
        </w:rPr>
      </w:pPr>
      <w:r>
        <w:rPr>
          <w:rFonts w:cstheme="minorHAnsi"/>
        </w:rPr>
        <w:t>La définition fiscale de ces divers éléments</w:t>
      </w:r>
      <w:r w:rsidR="00516541">
        <w:rPr>
          <w:rFonts w:cstheme="minorHAnsi"/>
        </w:rPr>
        <w:t xml:space="preserve">, ainsi que les travaux qualifiant sont </w:t>
      </w:r>
      <w:r>
        <w:rPr>
          <w:rFonts w:cstheme="minorHAnsi"/>
        </w:rPr>
        <w:t>précisé</w:t>
      </w:r>
      <w:r w:rsidR="00516541">
        <w:rPr>
          <w:rFonts w:cstheme="minorHAnsi"/>
        </w:rPr>
        <w:t>s</w:t>
      </w:r>
      <w:r>
        <w:rPr>
          <w:rFonts w:cstheme="minorHAnsi"/>
        </w:rPr>
        <w:t xml:space="preserve"> dans la notice ci-</w:t>
      </w:r>
      <w:r w:rsidR="005D0FFB">
        <w:rPr>
          <w:rFonts w:cstheme="minorHAnsi"/>
        </w:rPr>
        <w:t>annexée.</w:t>
      </w:r>
    </w:p>
    <w:p w14:paraId="0FBA85DE" w14:textId="77777777" w:rsidR="005D0FFB" w:rsidRDefault="005D0FFB" w:rsidP="00F7095F">
      <w:pPr>
        <w:spacing w:after="0"/>
        <w:jc w:val="both"/>
        <w:rPr>
          <w:color w:val="FF0000"/>
        </w:rPr>
      </w:pPr>
    </w:p>
    <w:p w14:paraId="76F46531" w14:textId="3E721EAE" w:rsidR="00F7095F" w:rsidRDefault="00F7095F" w:rsidP="00F7095F">
      <w:pPr>
        <w:spacing w:after="0"/>
        <w:jc w:val="both"/>
        <w:rPr>
          <w:color w:val="FF0000"/>
        </w:rPr>
      </w:pPr>
      <w:r w:rsidRPr="00F36403">
        <w:rPr>
          <w:color w:val="FF0000"/>
        </w:rPr>
        <w:t>[</w:t>
      </w:r>
      <w:r w:rsidRPr="00F7095F">
        <w:rPr>
          <w:i/>
          <w:color w:val="FF0000"/>
          <w:u w:val="single"/>
        </w:rPr>
        <w:t>Instructions</w:t>
      </w:r>
      <w:r w:rsidRPr="00F7095F">
        <w:rPr>
          <w:i/>
          <w:color w:val="FF0000"/>
        </w:rPr>
        <w:t> : Ne</w:t>
      </w:r>
      <w:r w:rsidRPr="00F36403">
        <w:rPr>
          <w:i/>
          <w:color w:val="FF0000"/>
        </w:rPr>
        <w:t xml:space="preserve"> conserver que le paragraphe pertinent et supprimer l’autre paragraphe</w:t>
      </w:r>
      <w:r w:rsidRPr="00F36403">
        <w:rPr>
          <w:color w:val="FF0000"/>
        </w:rPr>
        <w:t>]</w:t>
      </w:r>
    </w:p>
    <w:p w14:paraId="3C4DBE91" w14:textId="77777777" w:rsidR="00F7095F" w:rsidRDefault="00F7095F" w:rsidP="00F36403">
      <w:pPr>
        <w:spacing w:after="0"/>
        <w:jc w:val="both"/>
        <w:rPr>
          <w:rFonts w:cstheme="minorHAnsi"/>
        </w:rPr>
      </w:pPr>
    </w:p>
    <w:p w14:paraId="1150E7F4" w14:textId="4EEC2CC1" w:rsidR="004A0218" w:rsidRDefault="00CB3C75" w:rsidP="00F36403">
      <w:pPr>
        <w:spacing w:after="0"/>
        <w:jc w:val="both"/>
        <w:rPr>
          <w:rFonts w:cstheme="minorHAnsi"/>
        </w:rPr>
      </w:pPr>
      <w:r>
        <w:t>Les travaux n’ont pas conduit</w:t>
      </w:r>
      <w:r w:rsidR="00FA3856" w:rsidRPr="004A0218">
        <w:rPr>
          <w:rFonts w:cstheme="minorHAnsi"/>
        </w:rPr>
        <w:t xml:space="preserve"> à </w:t>
      </w:r>
      <w:r w:rsidR="00F7095F">
        <w:rPr>
          <w:rFonts w:cstheme="minorHAnsi"/>
        </w:rPr>
        <w:t xml:space="preserve">remettre </w:t>
      </w:r>
      <w:r w:rsidR="00FA3856" w:rsidRPr="004A0218">
        <w:rPr>
          <w:rFonts w:cstheme="minorHAnsi"/>
        </w:rPr>
        <w:t xml:space="preserve">à </w:t>
      </w:r>
      <w:r w:rsidR="0000060B">
        <w:rPr>
          <w:rFonts w:cstheme="minorHAnsi"/>
        </w:rPr>
        <w:t xml:space="preserve">l’état </w:t>
      </w:r>
      <w:r w:rsidR="00FA3856" w:rsidRPr="004A0218">
        <w:rPr>
          <w:rFonts w:cstheme="minorHAnsi"/>
        </w:rPr>
        <w:t>neuf</w:t>
      </w:r>
      <w:r w:rsidR="007E4B34">
        <w:rPr>
          <w:rFonts w:cstheme="minorHAnsi"/>
        </w:rPr>
        <w:t>, dans une proportion supérieure à 50 %,</w:t>
      </w:r>
      <w:r w:rsidR="00F7095F">
        <w:rPr>
          <w:rFonts w:cstheme="minorHAnsi"/>
        </w:rPr>
        <w:t xml:space="preserve"> </w:t>
      </w:r>
      <w:r w:rsidR="007E4B34">
        <w:rPr>
          <w:rFonts w:cstheme="minorHAnsi"/>
        </w:rPr>
        <w:t>l</w:t>
      </w:r>
      <w:r w:rsidR="00F7095F">
        <w:rPr>
          <w:rFonts w:cstheme="minorHAnsi"/>
        </w:rPr>
        <w:t>es éléments suivants</w:t>
      </w:r>
      <w:r w:rsidR="004A0218" w:rsidRPr="004A0218">
        <w:rPr>
          <w:rFonts w:cstheme="minorHAnsi"/>
        </w:rPr>
        <w:t> :</w:t>
      </w:r>
    </w:p>
    <w:p w14:paraId="0E0EC19C" w14:textId="77777777" w:rsidR="00184939" w:rsidRPr="004A0218" w:rsidRDefault="00184939" w:rsidP="00F36403">
      <w:pPr>
        <w:spacing w:after="0"/>
        <w:jc w:val="both"/>
        <w:rPr>
          <w:rFonts w:cstheme="minorHAnsi"/>
        </w:rPr>
      </w:pPr>
    </w:p>
    <w:p w14:paraId="67DF484A" w14:textId="1A085299" w:rsidR="004A0218" w:rsidRPr="004A0218" w:rsidRDefault="00184939"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les </w:t>
      </w:r>
      <w:r w:rsidR="004A0218" w:rsidRPr="004A0218">
        <w:rPr>
          <w:rFonts w:asciiTheme="minorHAnsi" w:hAnsiTheme="minorHAnsi" w:cstheme="minorHAnsi"/>
          <w:sz w:val="22"/>
          <w:szCs w:val="22"/>
          <w:lang w:val="fr-FR"/>
        </w:rPr>
        <w:t>fondations</w:t>
      </w:r>
      <w:r w:rsidR="0000060B">
        <w:rPr>
          <w:rFonts w:asciiTheme="minorHAnsi" w:hAnsiTheme="minorHAnsi" w:cstheme="minorHAnsi"/>
          <w:sz w:val="22"/>
          <w:szCs w:val="22"/>
          <w:lang w:val="fr-FR"/>
        </w:rPr>
        <w:t xml:space="preserve"> </w:t>
      </w:r>
      <w:r w:rsidR="004A0218" w:rsidRPr="004A0218">
        <w:rPr>
          <w:rFonts w:asciiTheme="minorHAnsi" w:hAnsiTheme="minorHAnsi" w:cstheme="minorHAnsi"/>
          <w:sz w:val="22"/>
          <w:szCs w:val="22"/>
          <w:lang w:val="fr-FR"/>
        </w:rPr>
        <w:t xml:space="preserve">; </w:t>
      </w:r>
    </w:p>
    <w:p w14:paraId="7BE5381D" w14:textId="64F55854" w:rsidR="004A0218" w:rsidRPr="004A0218" w:rsidRDefault="00184939"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les</w:t>
      </w:r>
      <w:r w:rsidR="00FA3856" w:rsidRPr="004A0218">
        <w:rPr>
          <w:rFonts w:asciiTheme="minorHAnsi" w:hAnsiTheme="minorHAnsi" w:cstheme="minorHAnsi"/>
          <w:sz w:val="22"/>
          <w:szCs w:val="22"/>
          <w:lang w:val="fr-FR"/>
        </w:rPr>
        <w:t xml:space="preserve"> éléments hors fondations déterminant la résistance et la rigidité de l</w:t>
      </w:r>
      <w:r w:rsidR="004A0218" w:rsidRPr="004A0218">
        <w:rPr>
          <w:rFonts w:asciiTheme="minorHAnsi" w:hAnsiTheme="minorHAnsi" w:cstheme="minorHAnsi"/>
          <w:sz w:val="22"/>
          <w:szCs w:val="22"/>
          <w:lang w:val="fr-FR"/>
        </w:rPr>
        <w:t>’ouvrage ;</w:t>
      </w:r>
    </w:p>
    <w:p w14:paraId="23A6ACB2" w14:textId="6389A312" w:rsidR="00FA3856" w:rsidRPr="004A0218" w:rsidRDefault="00FA3856"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sidRPr="004A0218">
        <w:rPr>
          <w:rFonts w:asciiTheme="minorHAnsi" w:hAnsiTheme="minorHAnsi" w:cstheme="minorHAnsi"/>
          <w:sz w:val="22"/>
          <w:szCs w:val="22"/>
          <w:lang w:val="fr-FR"/>
        </w:rPr>
        <w:t>la consistance des façades hors ravalement</w:t>
      </w:r>
      <w:r w:rsidR="004A0218" w:rsidRPr="004A0218">
        <w:rPr>
          <w:rFonts w:asciiTheme="minorHAnsi" w:hAnsiTheme="minorHAnsi" w:cstheme="minorHAnsi"/>
          <w:sz w:val="22"/>
          <w:szCs w:val="22"/>
          <w:lang w:val="fr-FR"/>
        </w:rPr>
        <w:t>.</w:t>
      </w:r>
    </w:p>
    <w:p w14:paraId="4C3BDB64" w14:textId="2A464668" w:rsidR="007A4B73" w:rsidRDefault="007A4B73" w:rsidP="00F36403">
      <w:pPr>
        <w:spacing w:after="0"/>
      </w:pPr>
    </w:p>
    <w:p w14:paraId="6507DA19" w14:textId="59FC0170" w:rsidR="00F7095F" w:rsidRPr="00F7095F" w:rsidRDefault="00F7095F" w:rsidP="00F36403">
      <w:pPr>
        <w:spacing w:after="0"/>
        <w:rPr>
          <w:color w:val="FF0000"/>
        </w:rPr>
      </w:pPr>
      <w:r w:rsidRPr="00F7095F">
        <w:rPr>
          <w:color w:val="FF0000"/>
        </w:rPr>
        <w:t>[</w:t>
      </w:r>
      <w:r w:rsidRPr="00F7095F">
        <w:rPr>
          <w:i/>
          <w:color w:val="FF0000"/>
        </w:rPr>
        <w:t>Et</w:t>
      </w:r>
      <w:r>
        <w:rPr>
          <w:color w:val="FF0000"/>
        </w:rPr>
        <w:t xml:space="preserve"> / </w:t>
      </w:r>
      <w:r w:rsidRPr="00F7095F">
        <w:rPr>
          <w:i/>
          <w:color w:val="FF0000"/>
        </w:rPr>
        <w:t>Ou</w:t>
      </w:r>
      <w:r w:rsidRPr="00F7095F">
        <w:rPr>
          <w:color w:val="FF0000"/>
        </w:rPr>
        <w:t>]</w:t>
      </w:r>
    </w:p>
    <w:p w14:paraId="2D5380DB" w14:textId="0705322B" w:rsidR="00F7095F" w:rsidRDefault="00F7095F" w:rsidP="00F36403">
      <w:pPr>
        <w:spacing w:after="0"/>
      </w:pPr>
    </w:p>
    <w:p w14:paraId="70C33544" w14:textId="72FD6234" w:rsidR="00F7095F" w:rsidRDefault="00CB3C75" w:rsidP="00F7095F">
      <w:pPr>
        <w:spacing w:after="0"/>
        <w:jc w:val="both"/>
        <w:rPr>
          <w:rFonts w:cstheme="minorHAnsi"/>
        </w:rPr>
      </w:pPr>
      <w:r>
        <w:t>Les travaux ont conduit</w:t>
      </w:r>
      <w:r w:rsidR="00F7095F" w:rsidRPr="004A0218">
        <w:rPr>
          <w:rFonts w:cstheme="minorHAnsi"/>
        </w:rPr>
        <w:t xml:space="preserve"> à </w:t>
      </w:r>
      <w:r w:rsidR="00F7095F">
        <w:rPr>
          <w:rFonts w:cstheme="minorHAnsi"/>
        </w:rPr>
        <w:t xml:space="preserve">remettre </w:t>
      </w:r>
      <w:r w:rsidR="00F7095F" w:rsidRPr="004A0218">
        <w:rPr>
          <w:rFonts w:cstheme="minorHAnsi"/>
        </w:rPr>
        <w:t xml:space="preserve">à </w:t>
      </w:r>
      <w:r w:rsidR="00F7095F">
        <w:rPr>
          <w:rFonts w:cstheme="minorHAnsi"/>
        </w:rPr>
        <w:t xml:space="preserve">l’état </w:t>
      </w:r>
      <w:r w:rsidR="00F7095F" w:rsidRPr="004A0218">
        <w:rPr>
          <w:rFonts w:cstheme="minorHAnsi"/>
        </w:rPr>
        <w:t>neuf</w:t>
      </w:r>
      <w:r w:rsidR="007E4B34">
        <w:rPr>
          <w:rFonts w:cstheme="minorHAnsi"/>
        </w:rPr>
        <w:t>, dans une proportion supérieure à 50 %, les é</w:t>
      </w:r>
      <w:r w:rsidR="00F7095F">
        <w:rPr>
          <w:rFonts w:cstheme="minorHAnsi"/>
        </w:rPr>
        <w:t xml:space="preserve">léments suivants </w:t>
      </w:r>
      <w:r w:rsidR="005D0FFB" w:rsidRPr="005D0FFB">
        <w:rPr>
          <w:rFonts w:cstheme="minorHAnsi"/>
          <w:color w:val="FF0000"/>
        </w:rPr>
        <w:t>[</w:t>
      </w:r>
      <w:r w:rsidR="005D0FFB" w:rsidRPr="005D0FFB">
        <w:rPr>
          <w:rFonts w:cstheme="minorHAnsi"/>
          <w:i/>
          <w:color w:val="FF0000"/>
        </w:rPr>
        <w:t>ne conserver que le</w:t>
      </w:r>
      <w:r>
        <w:rPr>
          <w:rFonts w:cstheme="minorHAnsi"/>
          <w:i/>
          <w:color w:val="FF0000"/>
        </w:rPr>
        <w:t>s</w:t>
      </w:r>
      <w:r w:rsidR="005D0FFB" w:rsidRPr="005D0FFB">
        <w:rPr>
          <w:rFonts w:cstheme="minorHAnsi"/>
          <w:i/>
          <w:color w:val="FF0000"/>
        </w:rPr>
        <w:t xml:space="preserve"> éléments </w:t>
      </w:r>
      <w:r w:rsidR="007E4B34">
        <w:rPr>
          <w:rFonts w:cstheme="minorHAnsi"/>
          <w:i/>
          <w:color w:val="FF0000"/>
        </w:rPr>
        <w:t xml:space="preserve">de gros œuvre </w:t>
      </w:r>
      <w:r w:rsidR="005D0FFB">
        <w:rPr>
          <w:rFonts w:cstheme="minorHAnsi"/>
          <w:i/>
          <w:color w:val="FF0000"/>
        </w:rPr>
        <w:t>pertinents</w:t>
      </w:r>
      <w:r w:rsidR="005D0FFB" w:rsidRPr="005D0FFB">
        <w:rPr>
          <w:rFonts w:cstheme="minorHAnsi"/>
          <w:i/>
          <w:color w:val="FF0000"/>
        </w:rPr>
        <w:t xml:space="preserve"> et supprimer les autres</w:t>
      </w:r>
      <w:r w:rsidR="00900658">
        <w:rPr>
          <w:rFonts w:cstheme="minorHAnsi"/>
          <w:i/>
          <w:color w:val="FF0000"/>
        </w:rPr>
        <w:t>.</w:t>
      </w:r>
      <w:r w:rsidR="00900658" w:rsidRPr="00900658">
        <w:rPr>
          <w:i/>
          <w:color w:val="FF0000"/>
        </w:rPr>
        <w:t xml:space="preserve"> </w:t>
      </w:r>
      <w:r w:rsidR="00900658" w:rsidRPr="00922577">
        <w:rPr>
          <w:i/>
          <w:color w:val="FF0000"/>
        </w:rPr>
        <w:t xml:space="preserve">Préciser </w:t>
      </w:r>
      <w:r w:rsidR="00900658">
        <w:rPr>
          <w:i/>
          <w:color w:val="FF0000"/>
        </w:rPr>
        <w:t>le pourcentage de remise à neuf, sur la base des précisions contenues dans la notice ci-jointe)</w:t>
      </w:r>
      <w:r w:rsidR="005D0FFB" w:rsidRPr="005D0FFB">
        <w:rPr>
          <w:rFonts w:cstheme="minorHAnsi"/>
          <w:color w:val="FF0000"/>
        </w:rPr>
        <w:t>]</w:t>
      </w:r>
      <w:r w:rsidR="00F7095F" w:rsidRPr="004A0218">
        <w:rPr>
          <w:rFonts w:cstheme="minorHAnsi"/>
        </w:rPr>
        <w:t> :</w:t>
      </w:r>
    </w:p>
    <w:p w14:paraId="5A781271" w14:textId="77777777" w:rsidR="004E53D8" w:rsidRPr="004A0218" w:rsidRDefault="004E53D8" w:rsidP="00F7095F">
      <w:pPr>
        <w:spacing w:after="0"/>
        <w:jc w:val="both"/>
        <w:rPr>
          <w:rFonts w:cstheme="minorHAnsi"/>
        </w:rPr>
      </w:pPr>
    </w:p>
    <w:p w14:paraId="0BDF7069" w14:textId="27CE664A" w:rsidR="00F7095F" w:rsidRPr="004A0218" w:rsidRDefault="007E4B34"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l</w:t>
      </w:r>
      <w:r w:rsidR="00F7095F" w:rsidRPr="004A0218">
        <w:rPr>
          <w:rFonts w:asciiTheme="minorHAnsi" w:hAnsiTheme="minorHAnsi" w:cstheme="minorHAnsi"/>
          <w:sz w:val="22"/>
          <w:szCs w:val="22"/>
          <w:lang w:val="fr-FR"/>
        </w:rPr>
        <w:t>es fondations</w:t>
      </w:r>
      <w:r>
        <w:rPr>
          <w:rFonts w:asciiTheme="minorHAnsi" w:hAnsiTheme="minorHAnsi" w:cstheme="minorHAnsi"/>
          <w:sz w:val="22"/>
          <w:szCs w:val="22"/>
          <w:lang w:val="fr-FR"/>
        </w:rPr>
        <w:t xml:space="preserve">, 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 %</w:t>
      </w:r>
      <w:r w:rsidR="00F7095F">
        <w:rPr>
          <w:rFonts w:asciiTheme="minorHAnsi" w:hAnsiTheme="minorHAnsi" w:cstheme="minorHAnsi"/>
          <w:sz w:val="22"/>
          <w:szCs w:val="22"/>
          <w:lang w:val="fr-FR"/>
        </w:rPr>
        <w:t xml:space="preserve"> </w:t>
      </w:r>
      <w:r w:rsidR="00F7095F" w:rsidRPr="004A0218">
        <w:rPr>
          <w:rFonts w:asciiTheme="minorHAnsi" w:hAnsiTheme="minorHAnsi" w:cstheme="minorHAnsi"/>
          <w:sz w:val="22"/>
          <w:szCs w:val="22"/>
          <w:lang w:val="fr-FR"/>
        </w:rPr>
        <w:t xml:space="preserve">; </w:t>
      </w:r>
    </w:p>
    <w:p w14:paraId="15E8259E" w14:textId="2A1A8D44" w:rsidR="00F7095F" w:rsidRPr="004A0218" w:rsidRDefault="007E4B34"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Pr>
          <w:rFonts w:asciiTheme="minorHAnsi" w:hAnsiTheme="minorHAnsi" w:cstheme="minorHAnsi"/>
          <w:sz w:val="22"/>
          <w:szCs w:val="22"/>
          <w:lang w:val="fr-FR"/>
        </w:rPr>
        <w:t>l</w:t>
      </w:r>
      <w:r w:rsidR="00F7095F" w:rsidRPr="004A0218">
        <w:rPr>
          <w:rFonts w:asciiTheme="minorHAnsi" w:hAnsiTheme="minorHAnsi" w:cstheme="minorHAnsi"/>
          <w:sz w:val="22"/>
          <w:szCs w:val="22"/>
          <w:lang w:val="fr-FR"/>
        </w:rPr>
        <w:t>es éléments hors fondations déterminant la résistance et la rigidité de l’ouvrage</w:t>
      </w:r>
      <w:r>
        <w:rPr>
          <w:rFonts w:asciiTheme="minorHAnsi" w:hAnsiTheme="minorHAnsi" w:cstheme="minorHAnsi"/>
          <w:sz w:val="22"/>
          <w:szCs w:val="22"/>
          <w:lang w:val="fr-FR"/>
        </w:rPr>
        <w:t xml:space="preserve">, 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 %</w:t>
      </w:r>
      <w:r w:rsidR="00F7095F" w:rsidRPr="004A0218">
        <w:rPr>
          <w:rFonts w:asciiTheme="minorHAnsi" w:hAnsiTheme="minorHAnsi" w:cstheme="minorHAnsi"/>
          <w:sz w:val="22"/>
          <w:szCs w:val="22"/>
          <w:lang w:val="fr-FR"/>
        </w:rPr>
        <w:t> ;</w:t>
      </w:r>
    </w:p>
    <w:p w14:paraId="05F7DE17" w14:textId="213284BA" w:rsidR="00F7095F" w:rsidRPr="007E4B34" w:rsidRDefault="00F7095F" w:rsidP="00900658">
      <w:pPr>
        <w:pStyle w:val="ListParagraph"/>
        <w:keepNext w:val="0"/>
        <w:keepLines w:val="0"/>
        <w:widowControl w:val="0"/>
        <w:numPr>
          <w:ilvl w:val="0"/>
          <w:numId w:val="8"/>
        </w:numPr>
        <w:ind w:left="714" w:hanging="357"/>
        <w:rPr>
          <w:rFonts w:asciiTheme="minorHAnsi" w:hAnsiTheme="minorHAnsi" w:cstheme="minorHAnsi"/>
          <w:color w:val="000000"/>
          <w:sz w:val="22"/>
          <w:szCs w:val="22"/>
          <w:lang w:val="fr-FR"/>
        </w:rPr>
      </w:pPr>
      <w:r w:rsidRPr="004A0218">
        <w:rPr>
          <w:rFonts w:asciiTheme="minorHAnsi" w:hAnsiTheme="minorHAnsi" w:cstheme="minorHAnsi"/>
          <w:sz w:val="22"/>
          <w:szCs w:val="22"/>
          <w:lang w:val="fr-FR"/>
        </w:rPr>
        <w:t>la consistance des façades hors ravalement</w:t>
      </w:r>
      <w:r w:rsidR="007E4B34">
        <w:rPr>
          <w:rFonts w:asciiTheme="minorHAnsi" w:hAnsiTheme="minorHAnsi" w:cstheme="minorHAnsi"/>
          <w:sz w:val="22"/>
          <w:szCs w:val="22"/>
          <w:lang w:val="fr-FR"/>
        </w:rPr>
        <w:t>,</w:t>
      </w:r>
      <w:r w:rsidR="007E4B34" w:rsidRPr="007E4B34">
        <w:rPr>
          <w:rFonts w:asciiTheme="minorHAnsi" w:hAnsiTheme="minorHAnsi" w:cstheme="minorHAnsi"/>
          <w:sz w:val="22"/>
          <w:szCs w:val="22"/>
          <w:lang w:val="fr-FR"/>
        </w:rPr>
        <w:t xml:space="preserve"> </w:t>
      </w:r>
      <w:r w:rsidR="007E4B34">
        <w:rPr>
          <w:rFonts w:asciiTheme="minorHAnsi" w:hAnsiTheme="minorHAnsi" w:cstheme="minorHAnsi"/>
          <w:sz w:val="22"/>
          <w:szCs w:val="22"/>
          <w:lang w:val="fr-FR"/>
        </w:rPr>
        <w:t xml:space="preserve">à hauteur de </w:t>
      </w:r>
      <w:r w:rsidR="007E4B34">
        <w:rPr>
          <w:rFonts w:asciiTheme="minorHAnsi" w:eastAsiaTheme="minorHAnsi" w:hAnsiTheme="minorHAnsi" w:cstheme="minorHAnsi"/>
          <w:sz w:val="22"/>
          <w:szCs w:val="22"/>
          <w:lang w:val="fr-FR" w:bidi="ar-SA"/>
        </w:rPr>
        <w:t>[</w:t>
      </w:r>
      <w:r w:rsidR="007E4B34">
        <w:rPr>
          <w:rFonts w:asciiTheme="minorHAnsi" w:eastAsiaTheme="minorHAnsi" w:hAnsiTheme="minorHAnsi" w:cstheme="minorHAnsi"/>
          <w:sz w:val="22"/>
          <w:szCs w:val="22"/>
          <w:highlight w:val="yellow"/>
          <w:lang w:val="fr-FR" w:bidi="ar-SA"/>
        </w:rPr>
        <w:t>I</w:t>
      </w:r>
      <w:r w:rsidR="007E4B34" w:rsidRPr="00CC3105">
        <w:rPr>
          <w:rFonts w:asciiTheme="minorHAnsi" w:eastAsiaTheme="minorHAnsi" w:hAnsiTheme="minorHAnsi" w:cstheme="minorHAnsi"/>
          <w:sz w:val="22"/>
          <w:szCs w:val="22"/>
          <w:highlight w:val="yellow"/>
          <w:lang w:val="fr-FR" w:bidi="ar-SA"/>
        </w:rPr>
        <w:t>ndi</w:t>
      </w:r>
      <w:r w:rsidR="007E4B34">
        <w:rPr>
          <w:rFonts w:asciiTheme="minorHAnsi" w:eastAsiaTheme="minorHAnsi" w:hAnsiTheme="minorHAnsi" w:cstheme="minorHAnsi"/>
          <w:sz w:val="22"/>
          <w:szCs w:val="22"/>
          <w:highlight w:val="yellow"/>
          <w:lang w:val="fr-FR" w:bidi="ar-SA"/>
        </w:rPr>
        <w:t>quer le</w:t>
      </w:r>
      <w:r w:rsidR="007E4B34" w:rsidRPr="00CC3105">
        <w:rPr>
          <w:rFonts w:asciiTheme="minorHAnsi" w:eastAsiaTheme="minorHAnsi" w:hAnsiTheme="minorHAnsi" w:cstheme="minorHAnsi"/>
          <w:sz w:val="22"/>
          <w:szCs w:val="22"/>
          <w:highlight w:val="yellow"/>
          <w:lang w:val="fr-FR" w:bidi="ar-SA"/>
        </w:rPr>
        <w:t xml:space="preserve"> pourcentage remis à neuf</w:t>
      </w:r>
      <w:r w:rsidR="007E4B34">
        <w:rPr>
          <w:rFonts w:asciiTheme="minorHAnsi" w:eastAsiaTheme="minorHAnsi" w:hAnsiTheme="minorHAnsi" w:cstheme="minorHAnsi"/>
          <w:sz w:val="22"/>
          <w:szCs w:val="22"/>
          <w:lang w:val="fr-FR" w:bidi="ar-SA"/>
        </w:rPr>
        <w:t>] %</w:t>
      </w:r>
      <w:r w:rsidRPr="004A0218">
        <w:rPr>
          <w:rFonts w:asciiTheme="minorHAnsi" w:hAnsiTheme="minorHAnsi" w:cstheme="minorHAnsi"/>
          <w:sz w:val="22"/>
          <w:szCs w:val="22"/>
          <w:lang w:val="fr-FR"/>
        </w:rPr>
        <w:t>.</w:t>
      </w:r>
    </w:p>
    <w:p w14:paraId="5DA4142E" w14:textId="77777777" w:rsidR="00987132" w:rsidRDefault="00987132" w:rsidP="00987132">
      <w:pPr>
        <w:spacing w:after="0"/>
        <w:jc w:val="both"/>
        <w:rPr>
          <w:rFonts w:cstheme="minorHAnsi"/>
        </w:rPr>
      </w:pPr>
    </w:p>
    <w:p w14:paraId="4CF662AD" w14:textId="3015A2A1" w:rsidR="007E4B34" w:rsidRDefault="007E4B34" w:rsidP="007E4B34">
      <w:pPr>
        <w:jc w:val="both"/>
        <w:rPr>
          <w:rFonts w:cstheme="minorHAnsi"/>
        </w:rPr>
      </w:pPr>
      <w:r>
        <w:rPr>
          <w:rFonts w:cstheme="minorHAnsi"/>
        </w:rPr>
        <w:t xml:space="preserve">En conséquence, </w:t>
      </w:r>
      <w:r w:rsidR="00CB3C75">
        <w:rPr>
          <w:rFonts w:cstheme="minorHAnsi"/>
        </w:rPr>
        <w:t>les travaux</w:t>
      </w:r>
      <w:r>
        <w:rPr>
          <w:rFonts w:cstheme="minorHAnsi"/>
        </w:rPr>
        <w:t xml:space="preserve">, </w:t>
      </w:r>
      <w:r w:rsidR="00467091">
        <w:rPr>
          <w:rFonts w:cstheme="minorHAnsi"/>
        </w:rPr>
        <w:t xml:space="preserve">pour la partie portant </w:t>
      </w:r>
      <w:r>
        <w:rPr>
          <w:rFonts w:cstheme="minorHAnsi"/>
        </w:rPr>
        <w:t xml:space="preserve">sur l’immeuble existant, </w:t>
      </w:r>
      <w:r w:rsidR="00CB3C75">
        <w:rPr>
          <w:rFonts w:cstheme="minorHAnsi"/>
        </w:rPr>
        <w:t>ont conduit</w:t>
      </w:r>
      <w:r>
        <w:rPr>
          <w:rFonts w:cstheme="minorHAnsi"/>
        </w:rPr>
        <w:t xml:space="preserve"> à la production d’un immeuble neuf en application de</w:t>
      </w:r>
      <w:r w:rsidR="00987132">
        <w:rPr>
          <w:rFonts w:cstheme="minorHAnsi"/>
        </w:rPr>
        <w:t xml:space="preserve"> l’a</w:t>
      </w:r>
      <w:r>
        <w:rPr>
          <w:rFonts w:cstheme="minorHAnsi"/>
        </w:rPr>
        <w:t xml:space="preserve">rticle 257, I-2-2° du Code général des impôts, tel que précisé par les commentaires administratifs publiés au BOFiP sous la référence </w:t>
      </w:r>
      <w:r w:rsidRPr="00922577">
        <w:rPr>
          <w:rFonts w:cstheme="minorHAnsi"/>
        </w:rPr>
        <w:t>BOI-TVA-IMM-10-10-10-20-20140929</w:t>
      </w:r>
      <w:r>
        <w:rPr>
          <w:rFonts w:cstheme="minorHAnsi"/>
        </w:rPr>
        <w:t>.</w:t>
      </w:r>
    </w:p>
    <w:p w14:paraId="2979C825" w14:textId="77777777" w:rsidR="004E53D8" w:rsidRDefault="004E53D8">
      <w:pPr>
        <w:rPr>
          <w:rFonts w:asciiTheme="majorHAnsi" w:eastAsiaTheme="majorEastAsia" w:hAnsiTheme="majorHAnsi" w:cstheme="majorBidi"/>
          <w:color w:val="365F91" w:themeColor="accent1" w:themeShade="BF"/>
          <w:sz w:val="26"/>
          <w:szCs w:val="26"/>
        </w:rPr>
      </w:pPr>
      <w:r>
        <w:br w:type="page"/>
      </w:r>
    </w:p>
    <w:p w14:paraId="63AE3972" w14:textId="18DE76A1" w:rsidR="00F7095F" w:rsidRDefault="00922577" w:rsidP="00F7095F">
      <w:pPr>
        <w:pStyle w:val="Heading2"/>
        <w:numPr>
          <w:ilvl w:val="1"/>
          <w:numId w:val="11"/>
        </w:numPr>
        <w:spacing w:before="0"/>
      </w:pPr>
      <w:r>
        <w:lastRenderedPageBreak/>
        <w:t>E</w:t>
      </w:r>
      <w:r w:rsidR="00F7095F">
        <w:t xml:space="preserve">léments de second œuvre </w:t>
      </w:r>
    </w:p>
    <w:p w14:paraId="56384AC5" w14:textId="48994321" w:rsidR="00F7095F" w:rsidRDefault="00F7095F" w:rsidP="00F36403">
      <w:pPr>
        <w:spacing w:after="0"/>
      </w:pPr>
    </w:p>
    <w:p w14:paraId="7169C572" w14:textId="779906CB" w:rsidR="001A19D3" w:rsidRDefault="00922577" w:rsidP="001A19D3">
      <w:pPr>
        <w:spacing w:after="0"/>
        <w:jc w:val="both"/>
        <w:rPr>
          <w:i/>
          <w:color w:val="FF0000"/>
        </w:rPr>
      </w:pPr>
      <w:r w:rsidRPr="00F36403">
        <w:rPr>
          <w:color w:val="FF0000"/>
        </w:rPr>
        <w:t>[</w:t>
      </w:r>
      <w:r w:rsidRPr="00F7095F">
        <w:rPr>
          <w:i/>
          <w:color w:val="FF0000"/>
          <w:u w:val="single"/>
        </w:rPr>
        <w:t>Instructions</w:t>
      </w:r>
      <w:r w:rsidRPr="00F7095F">
        <w:rPr>
          <w:i/>
          <w:color w:val="FF0000"/>
        </w:rPr>
        <w:t> :</w:t>
      </w:r>
      <w:r>
        <w:rPr>
          <w:color w:val="FF0000"/>
        </w:rPr>
        <w:t xml:space="preserve"> </w:t>
      </w:r>
      <w:r w:rsidRPr="00F36403">
        <w:rPr>
          <w:i/>
          <w:color w:val="FF0000"/>
        </w:rPr>
        <w:t>Ne conserver que le paragraphe pertinent et supprimer l’autre paragraphe</w:t>
      </w:r>
      <w:r w:rsidRPr="00922577">
        <w:rPr>
          <w:i/>
          <w:color w:val="FF0000"/>
        </w:rPr>
        <w:t xml:space="preserve">. </w:t>
      </w:r>
      <w:bookmarkStart w:id="2" w:name="_Hlk36845448"/>
      <w:r w:rsidRPr="00922577">
        <w:rPr>
          <w:i/>
          <w:color w:val="FF0000"/>
        </w:rPr>
        <w:t xml:space="preserve">Préciser </w:t>
      </w:r>
      <w:r w:rsidR="001A19D3">
        <w:rPr>
          <w:i/>
          <w:color w:val="FF0000"/>
        </w:rPr>
        <w:t>le pourcentage de remise à neuf</w:t>
      </w:r>
      <w:r>
        <w:rPr>
          <w:i/>
          <w:color w:val="FF0000"/>
        </w:rPr>
        <w:t xml:space="preserve">, sur la base des </w:t>
      </w:r>
      <w:r w:rsidR="001A19D3">
        <w:rPr>
          <w:i/>
          <w:color w:val="FF0000"/>
        </w:rPr>
        <w:t>précisions contenues dans la notice ci-jointe)</w:t>
      </w:r>
      <w:bookmarkEnd w:id="2"/>
      <w:r w:rsidR="001A19D3">
        <w:rPr>
          <w:i/>
          <w:color w:val="FF0000"/>
        </w:rPr>
        <w:t>]</w:t>
      </w:r>
    </w:p>
    <w:p w14:paraId="1F716D95" w14:textId="4601E76C" w:rsidR="00922577" w:rsidRDefault="00922577" w:rsidP="001A19D3">
      <w:pPr>
        <w:spacing w:after="0"/>
      </w:pPr>
    </w:p>
    <w:p w14:paraId="7D3A6037" w14:textId="57E458A3" w:rsidR="00922577" w:rsidRDefault="00922577" w:rsidP="00922577">
      <w:pPr>
        <w:spacing w:after="0"/>
        <w:jc w:val="both"/>
        <w:rPr>
          <w:rFonts w:cstheme="minorHAnsi"/>
        </w:rPr>
      </w:pPr>
      <w:r>
        <w:rPr>
          <w:rFonts w:cstheme="minorHAnsi"/>
        </w:rPr>
        <w:t>L</w:t>
      </w:r>
      <w:r w:rsidRPr="00922577">
        <w:rPr>
          <w:rFonts w:cstheme="minorHAnsi"/>
        </w:rPr>
        <w:t>’</w:t>
      </w:r>
      <w:r>
        <w:rPr>
          <w:rFonts w:cstheme="minorHAnsi"/>
        </w:rPr>
        <w:t xml:space="preserve">immeuble comprend, </w:t>
      </w:r>
      <w:r w:rsidR="00E23058">
        <w:rPr>
          <w:rFonts w:cstheme="minorHAnsi"/>
        </w:rPr>
        <w:t xml:space="preserve">avant et </w:t>
      </w:r>
      <w:r w:rsidRPr="00922577">
        <w:rPr>
          <w:rFonts w:cstheme="minorHAnsi"/>
        </w:rPr>
        <w:t xml:space="preserve">après travaux, des planchers </w:t>
      </w:r>
      <w:r>
        <w:rPr>
          <w:rFonts w:cstheme="minorHAnsi"/>
        </w:rPr>
        <w:t>non-</w:t>
      </w:r>
      <w:r w:rsidRPr="00922577">
        <w:rPr>
          <w:rFonts w:cstheme="minorHAnsi"/>
        </w:rPr>
        <w:t>porteurs</w:t>
      </w:r>
      <w:r>
        <w:rPr>
          <w:rFonts w:cstheme="minorHAnsi"/>
        </w:rPr>
        <w:t xml:space="preserve">, ne déterminant pas </w:t>
      </w:r>
      <w:r w:rsidRPr="00922577">
        <w:rPr>
          <w:rFonts w:cstheme="minorHAnsi"/>
        </w:rPr>
        <w:t>la résistance ou la rigidité de l’ouvrage.</w:t>
      </w:r>
    </w:p>
    <w:p w14:paraId="6C3DF728" w14:textId="77777777" w:rsidR="00922577" w:rsidRDefault="00922577" w:rsidP="001A19D3">
      <w:pPr>
        <w:spacing w:after="0"/>
      </w:pPr>
    </w:p>
    <w:p w14:paraId="2F5C640B" w14:textId="14FE9ADC" w:rsidR="00665D45" w:rsidRDefault="00CB3C75" w:rsidP="001A19D3">
      <w:pPr>
        <w:spacing w:after="0"/>
      </w:pPr>
      <w:r>
        <w:t>Les travaux ont conduit</w:t>
      </w:r>
      <w:r w:rsidR="002B4D01">
        <w:t xml:space="preserve"> </w:t>
      </w:r>
      <w:r w:rsidR="004A0218">
        <w:t xml:space="preserve">à </w:t>
      </w:r>
      <w:r w:rsidR="001A19D3">
        <w:t xml:space="preserve">remettre </w:t>
      </w:r>
      <w:r w:rsidR="004A0218">
        <w:t xml:space="preserve">à </w:t>
      </w:r>
      <w:r w:rsidR="0000060B">
        <w:t xml:space="preserve">l’état </w:t>
      </w:r>
      <w:r w:rsidR="004A0218">
        <w:t>neuf</w:t>
      </w:r>
      <w:r w:rsidR="001A19D3">
        <w:t xml:space="preserve">, </w:t>
      </w:r>
      <w:r w:rsidR="001A19D3" w:rsidRPr="004A0218">
        <w:t>dans une proportion supérieure aux 2/3</w:t>
      </w:r>
      <w:r w:rsidR="001A19D3">
        <w:t>, le</w:t>
      </w:r>
      <w:r w:rsidR="008223F2" w:rsidRPr="004A0218">
        <w:t>s éléments de second œuvre</w:t>
      </w:r>
      <w:r w:rsidR="001A19D3">
        <w:t xml:space="preserve"> suivant</w:t>
      </w:r>
      <w:r w:rsidR="002B4D01">
        <w:t xml:space="preserve"> </w:t>
      </w:r>
      <w:r w:rsidR="0063118D" w:rsidRPr="004A0218">
        <w:t>:</w:t>
      </w:r>
    </w:p>
    <w:p w14:paraId="3C609CF2" w14:textId="77777777" w:rsidR="001A19D3" w:rsidRPr="004A0218" w:rsidRDefault="001A19D3" w:rsidP="001A19D3">
      <w:pPr>
        <w:spacing w:after="0"/>
      </w:pPr>
    </w:p>
    <w:p w14:paraId="0676D63D" w14:textId="0B3EC102" w:rsidR="003B6EC3"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003B6EC3" w:rsidRPr="00B46D3E">
        <w:rPr>
          <w:rFonts w:asciiTheme="minorHAnsi" w:eastAsiaTheme="minorHAnsi" w:hAnsiTheme="minorHAnsi" w:cstheme="minorHAnsi"/>
          <w:sz w:val="22"/>
          <w:szCs w:val="22"/>
          <w:lang w:val="fr-FR" w:bidi="ar-SA"/>
        </w:rPr>
        <w:t xml:space="preserve">es huisseries </w:t>
      </w:r>
      <w:r w:rsidR="003E0B55" w:rsidRPr="00B46D3E">
        <w:rPr>
          <w:rFonts w:asciiTheme="minorHAnsi" w:eastAsiaTheme="minorHAnsi" w:hAnsiTheme="minorHAnsi" w:cstheme="minorHAnsi"/>
          <w:sz w:val="22"/>
          <w:szCs w:val="22"/>
          <w:lang w:val="fr-FR" w:bidi="ar-SA"/>
        </w:rPr>
        <w:t>extérieures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18058647" w14:textId="77777777" w:rsidR="003B6EC3" w:rsidRPr="00B46D3E" w:rsidRDefault="003B6EC3" w:rsidP="00900658">
      <w:pPr>
        <w:pStyle w:val="ListParagraph"/>
        <w:keepNext w:val="0"/>
        <w:keepLines w:val="0"/>
        <w:widowControl w:val="0"/>
        <w:ind w:left="1068"/>
        <w:rPr>
          <w:rFonts w:asciiTheme="minorHAnsi" w:eastAsiaTheme="minorHAnsi" w:hAnsiTheme="minorHAnsi" w:cstheme="minorHAnsi"/>
          <w:sz w:val="22"/>
          <w:szCs w:val="22"/>
          <w:lang w:val="fr-FR" w:bidi="ar-SA"/>
        </w:rPr>
      </w:pPr>
    </w:p>
    <w:p w14:paraId="26FD1A66" w14:textId="017F2C91" w:rsidR="003B6EC3"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00885B71">
        <w:rPr>
          <w:rFonts w:asciiTheme="minorHAnsi" w:eastAsiaTheme="minorHAnsi" w:hAnsiTheme="minorHAnsi" w:cstheme="minorHAnsi"/>
          <w:sz w:val="22"/>
          <w:szCs w:val="22"/>
          <w:lang w:val="fr-FR" w:bidi="ar-SA"/>
        </w:rPr>
        <w:t>e</w:t>
      </w:r>
      <w:r w:rsidR="003B6EC3" w:rsidRPr="00B46D3E">
        <w:rPr>
          <w:rFonts w:asciiTheme="minorHAnsi" w:eastAsiaTheme="minorHAnsi" w:hAnsiTheme="minorHAnsi" w:cstheme="minorHAnsi"/>
          <w:sz w:val="22"/>
          <w:szCs w:val="22"/>
          <w:lang w:val="fr-FR" w:bidi="ar-SA"/>
        </w:rPr>
        <w:t>s cloisons intérieures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56EA9544" w14:textId="77777777" w:rsidR="003B6EC3" w:rsidRPr="00B46D3E" w:rsidRDefault="003B6EC3" w:rsidP="00900658">
      <w:pPr>
        <w:pStyle w:val="ListParagraph"/>
        <w:keepNext w:val="0"/>
        <w:keepLines w:val="0"/>
        <w:widowControl w:val="0"/>
        <w:rPr>
          <w:rFonts w:asciiTheme="minorHAnsi" w:eastAsiaTheme="minorHAnsi" w:hAnsiTheme="minorHAnsi" w:cstheme="minorHAnsi"/>
          <w:sz w:val="22"/>
          <w:szCs w:val="22"/>
          <w:lang w:val="fr-FR" w:bidi="ar-SA"/>
        </w:rPr>
      </w:pPr>
    </w:p>
    <w:p w14:paraId="006D4639" w14:textId="5FAD0251" w:rsidR="003B6EC3"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00885B71">
        <w:rPr>
          <w:rFonts w:asciiTheme="minorHAnsi" w:eastAsiaTheme="minorHAnsi" w:hAnsiTheme="minorHAnsi" w:cstheme="minorHAnsi"/>
          <w:sz w:val="22"/>
          <w:szCs w:val="22"/>
          <w:lang w:val="fr-FR" w:bidi="ar-SA"/>
        </w:rPr>
        <w:t>e</w:t>
      </w:r>
      <w:r w:rsidR="00885B71" w:rsidRPr="00B46D3E">
        <w:rPr>
          <w:rFonts w:asciiTheme="minorHAnsi" w:eastAsiaTheme="minorHAnsi" w:hAnsiTheme="minorHAnsi" w:cstheme="minorHAnsi"/>
          <w:sz w:val="22"/>
          <w:szCs w:val="22"/>
          <w:lang w:val="fr-FR" w:bidi="ar-SA"/>
        </w:rPr>
        <w:t xml:space="preserve">s </w:t>
      </w:r>
      <w:r w:rsidR="003B6EC3" w:rsidRPr="00B46D3E">
        <w:rPr>
          <w:rFonts w:asciiTheme="minorHAnsi" w:eastAsiaTheme="minorHAnsi" w:hAnsiTheme="minorHAnsi" w:cstheme="minorHAnsi"/>
          <w:sz w:val="22"/>
          <w:szCs w:val="22"/>
          <w:lang w:val="fr-FR" w:bidi="ar-SA"/>
        </w:rPr>
        <w:t>installations sanitaires et de plomberie</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7B2B9720" w14:textId="77777777" w:rsidR="003B6EC3" w:rsidRPr="004A0218" w:rsidRDefault="003B6EC3" w:rsidP="00900658">
      <w:pPr>
        <w:pStyle w:val="ListParagraph"/>
        <w:keepNext w:val="0"/>
        <w:keepLines w:val="0"/>
        <w:widowControl w:val="0"/>
        <w:rPr>
          <w:rFonts w:asciiTheme="minorHAnsi" w:eastAsiaTheme="minorHAnsi" w:hAnsiTheme="minorHAnsi" w:cstheme="minorHAnsi"/>
          <w:sz w:val="22"/>
          <w:szCs w:val="22"/>
          <w:lang w:val="fr-FR" w:bidi="ar-SA"/>
        </w:rPr>
      </w:pPr>
    </w:p>
    <w:p w14:paraId="52519D16" w14:textId="37BFF302" w:rsidR="003B6EC3" w:rsidRPr="004A0218"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00885B71">
        <w:rPr>
          <w:rFonts w:asciiTheme="minorHAnsi" w:eastAsiaTheme="minorHAnsi" w:hAnsiTheme="minorHAnsi" w:cstheme="minorHAnsi"/>
          <w:sz w:val="22"/>
          <w:szCs w:val="22"/>
          <w:lang w:val="fr-FR" w:bidi="ar-SA"/>
        </w:rPr>
        <w:t>e</w:t>
      </w:r>
      <w:r w:rsidR="003B6EC3" w:rsidRPr="004A0218">
        <w:rPr>
          <w:rFonts w:asciiTheme="minorHAnsi" w:eastAsiaTheme="minorHAnsi" w:hAnsiTheme="minorHAnsi" w:cstheme="minorHAnsi"/>
          <w:sz w:val="22"/>
          <w:szCs w:val="22"/>
          <w:lang w:val="fr-FR" w:bidi="ar-SA"/>
        </w:rPr>
        <w:t>s installations électriques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2004411E" w14:textId="77777777" w:rsidR="003B6EC3" w:rsidRPr="004A0218" w:rsidRDefault="003B6EC3" w:rsidP="00900658">
      <w:pPr>
        <w:pStyle w:val="ListParagraph"/>
        <w:keepNext w:val="0"/>
        <w:keepLines w:val="0"/>
        <w:widowControl w:val="0"/>
        <w:rPr>
          <w:rFonts w:asciiTheme="minorHAnsi" w:eastAsiaTheme="minorHAnsi" w:hAnsiTheme="minorHAnsi" w:cstheme="minorHAnsi"/>
          <w:sz w:val="22"/>
          <w:szCs w:val="22"/>
          <w:lang w:val="fr-FR" w:bidi="ar-SA"/>
        </w:rPr>
      </w:pPr>
    </w:p>
    <w:p w14:paraId="5E42D37E" w14:textId="6C7CEAF8" w:rsidR="00EA684D"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le</w:t>
      </w:r>
      <w:r w:rsidR="003B6EC3" w:rsidRPr="004A0218">
        <w:rPr>
          <w:rFonts w:asciiTheme="minorHAnsi" w:eastAsiaTheme="minorHAnsi" w:hAnsiTheme="minorHAnsi" w:cstheme="minorHAnsi"/>
          <w:sz w:val="22"/>
          <w:szCs w:val="22"/>
          <w:lang w:val="fr-FR" w:bidi="ar-SA"/>
        </w:rPr>
        <w:t xml:space="preserve"> système de chauffage</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45C3593B" w14:textId="77777777" w:rsidR="001A19D3" w:rsidRPr="001A19D3" w:rsidRDefault="001A19D3" w:rsidP="00900658">
      <w:pPr>
        <w:pStyle w:val="ListParagraph"/>
        <w:keepNext w:val="0"/>
        <w:keepLines w:val="0"/>
        <w:widowControl w:val="0"/>
        <w:rPr>
          <w:rFonts w:asciiTheme="minorHAnsi" w:eastAsiaTheme="minorHAnsi" w:hAnsiTheme="minorHAnsi" w:cstheme="minorHAnsi"/>
          <w:sz w:val="22"/>
          <w:szCs w:val="22"/>
          <w:lang w:val="fr-FR" w:bidi="ar-SA"/>
        </w:rPr>
      </w:pPr>
    </w:p>
    <w:p w14:paraId="2CDE87A1" w14:textId="723F0957" w:rsidR="001A19D3"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001A19D3">
        <w:rPr>
          <w:rFonts w:asciiTheme="minorHAnsi" w:eastAsiaTheme="minorHAnsi" w:hAnsiTheme="minorHAnsi" w:cstheme="minorHAnsi"/>
          <w:sz w:val="22"/>
          <w:szCs w:val="22"/>
          <w:lang w:val="fr-FR" w:bidi="ar-SA"/>
        </w:rPr>
        <w:t>es planchers non porteurs</w:t>
      </w:r>
      <w:r>
        <w:rPr>
          <w:rFonts w:asciiTheme="minorHAnsi" w:eastAsiaTheme="minorHAnsi" w:hAnsiTheme="minorHAnsi" w:cstheme="minorHAnsi"/>
          <w:sz w:val="22"/>
          <w:szCs w:val="22"/>
          <w:lang w:val="fr-FR" w:bidi="ar-SA"/>
        </w:rPr>
        <w:t xml:space="preserve">, à hauteur de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6D9E8C0C" w14:textId="77777777" w:rsidR="001A19D3" w:rsidRDefault="001A19D3" w:rsidP="001A19D3">
      <w:pPr>
        <w:spacing w:after="0"/>
        <w:jc w:val="both"/>
        <w:rPr>
          <w:rFonts w:cstheme="minorHAnsi"/>
        </w:rPr>
      </w:pPr>
    </w:p>
    <w:p w14:paraId="227E255B" w14:textId="438A20A8" w:rsidR="001A19D3" w:rsidRDefault="001A19D3" w:rsidP="001A19D3">
      <w:pPr>
        <w:spacing w:after="0"/>
        <w:jc w:val="both"/>
        <w:rPr>
          <w:rFonts w:cstheme="minorHAnsi"/>
        </w:rPr>
      </w:pPr>
      <w:r>
        <w:rPr>
          <w:rFonts w:cstheme="minorHAnsi"/>
        </w:rPr>
        <w:t>La définition fiscale de ces divers éléments, donnée par l’administration fiscale, ainsi que les travaux qualifiant sont précisés dans la notice ci-annexée.</w:t>
      </w:r>
    </w:p>
    <w:p w14:paraId="25139E7B" w14:textId="7CB3992A" w:rsidR="00922577" w:rsidRDefault="00922577" w:rsidP="001A19D3">
      <w:pPr>
        <w:spacing w:after="0"/>
        <w:jc w:val="both"/>
        <w:rPr>
          <w:rFonts w:cstheme="minorHAnsi"/>
        </w:rPr>
      </w:pPr>
    </w:p>
    <w:p w14:paraId="1107E136" w14:textId="51C87300" w:rsidR="00922577" w:rsidRDefault="00922577" w:rsidP="007E4B34">
      <w:pPr>
        <w:jc w:val="both"/>
        <w:rPr>
          <w:rFonts w:cstheme="minorHAnsi"/>
        </w:rPr>
      </w:pPr>
      <w:r>
        <w:rPr>
          <w:rFonts w:cstheme="minorHAnsi"/>
        </w:rPr>
        <w:t xml:space="preserve">En conséquence, </w:t>
      </w:r>
      <w:r w:rsidR="00CB3C75">
        <w:rPr>
          <w:rFonts w:cstheme="minorHAnsi"/>
        </w:rPr>
        <w:t>les travaux</w:t>
      </w:r>
      <w:r>
        <w:rPr>
          <w:rFonts w:cstheme="minorHAnsi"/>
        </w:rPr>
        <w:t xml:space="preserve">, </w:t>
      </w:r>
      <w:r w:rsidR="00467091">
        <w:rPr>
          <w:rFonts w:cstheme="minorHAnsi"/>
        </w:rPr>
        <w:t xml:space="preserve">pour la partie portant </w:t>
      </w:r>
      <w:r>
        <w:rPr>
          <w:rFonts w:cstheme="minorHAnsi"/>
        </w:rPr>
        <w:t xml:space="preserve">sur l’immeuble existant, </w:t>
      </w:r>
      <w:r w:rsidR="00CB3C75">
        <w:rPr>
          <w:rFonts w:cstheme="minorHAnsi"/>
        </w:rPr>
        <w:t>ont conduit</w:t>
      </w:r>
      <w:r>
        <w:rPr>
          <w:rFonts w:cstheme="minorHAnsi"/>
        </w:rPr>
        <w:t xml:space="preserve"> à la production d’un immeuble neuf en application des articles 257, I-2-2° du Code général des impôts et 245 A de l’annexe II </w:t>
      </w:r>
      <w:r w:rsidR="007E4B34">
        <w:rPr>
          <w:rFonts w:cstheme="minorHAnsi"/>
        </w:rPr>
        <w:t>a</w:t>
      </w:r>
      <w:r>
        <w:rPr>
          <w:rFonts w:cstheme="minorHAnsi"/>
        </w:rPr>
        <w:t>udit code, tel</w:t>
      </w:r>
      <w:r w:rsidR="007E4B34">
        <w:rPr>
          <w:rFonts w:cstheme="minorHAnsi"/>
        </w:rPr>
        <w:t>s</w:t>
      </w:r>
      <w:r>
        <w:rPr>
          <w:rFonts w:cstheme="minorHAnsi"/>
        </w:rPr>
        <w:t xml:space="preserve"> que précisés par les commentaires administratifs publiés au BOFiP sous la référence </w:t>
      </w:r>
      <w:r w:rsidRPr="00922577">
        <w:rPr>
          <w:rFonts w:cstheme="minorHAnsi"/>
        </w:rPr>
        <w:t>BOI-TVA-IMM-10-10-10-20-20140929</w:t>
      </w:r>
      <w:r>
        <w:rPr>
          <w:rFonts w:cstheme="minorHAnsi"/>
        </w:rPr>
        <w:t>.</w:t>
      </w:r>
    </w:p>
    <w:p w14:paraId="11F69F97" w14:textId="0A7A5CF2" w:rsidR="001A19D3" w:rsidRPr="001A19D3" w:rsidRDefault="001A19D3" w:rsidP="001A19D3">
      <w:pPr>
        <w:rPr>
          <w:rFonts w:cstheme="minorHAnsi"/>
          <w:color w:val="FF0000"/>
        </w:rPr>
      </w:pPr>
      <w:r w:rsidRPr="001A19D3">
        <w:rPr>
          <w:rFonts w:cstheme="minorHAnsi"/>
          <w:color w:val="FF0000"/>
        </w:rPr>
        <w:t>[</w:t>
      </w:r>
      <w:r w:rsidRPr="001A19D3">
        <w:rPr>
          <w:rFonts w:cstheme="minorHAnsi"/>
          <w:i/>
          <w:color w:val="FF0000"/>
        </w:rPr>
        <w:t xml:space="preserve">Ou, si tous les planchers de l’immeuble contribuent à la </w:t>
      </w:r>
      <w:r w:rsidRPr="001A19D3">
        <w:rPr>
          <w:i/>
          <w:color w:val="FF0000"/>
        </w:rPr>
        <w:t>résistance ou à la rigidité de l’ouvrage</w:t>
      </w:r>
      <w:r w:rsidR="00922577">
        <w:rPr>
          <w:i/>
          <w:color w:val="FF0000"/>
        </w:rPr>
        <w:t>, de sorte que l’immeuble ne contient pas de planchers non porteur</w:t>
      </w:r>
      <w:r w:rsidRPr="001A19D3">
        <w:rPr>
          <w:color w:val="FF0000"/>
        </w:rPr>
        <w:t>]</w:t>
      </w:r>
    </w:p>
    <w:p w14:paraId="4DEAD34F" w14:textId="319C0586" w:rsidR="007E4B34" w:rsidRDefault="007E4B34" w:rsidP="007E4B34">
      <w:pPr>
        <w:spacing w:after="0"/>
        <w:jc w:val="both"/>
        <w:rPr>
          <w:rFonts w:cstheme="minorHAnsi"/>
        </w:rPr>
      </w:pPr>
      <w:r>
        <w:rPr>
          <w:rFonts w:cstheme="minorHAnsi"/>
        </w:rPr>
        <w:t>L</w:t>
      </w:r>
      <w:r w:rsidRPr="00922577">
        <w:rPr>
          <w:rFonts w:cstheme="minorHAnsi"/>
        </w:rPr>
        <w:t>’ensemble des planchers de l’immeuble existant, avant et après travaux, sont des planchers porteurs qui déterminent la résistance ou la rigidité de l’ouvrage.</w:t>
      </w:r>
    </w:p>
    <w:p w14:paraId="498CBA59" w14:textId="36D5CBEA" w:rsidR="000A16D9" w:rsidRDefault="000A16D9" w:rsidP="007E4B34">
      <w:pPr>
        <w:spacing w:after="0"/>
        <w:jc w:val="both"/>
        <w:rPr>
          <w:rFonts w:cstheme="minorHAnsi"/>
        </w:rPr>
      </w:pPr>
    </w:p>
    <w:p w14:paraId="3F24E6BD" w14:textId="65A27F99" w:rsidR="000A16D9" w:rsidRDefault="000A16D9" w:rsidP="000A16D9">
      <w:pPr>
        <w:jc w:val="both"/>
        <w:rPr>
          <w:rFonts w:cstheme="minorHAnsi"/>
        </w:rPr>
      </w:pPr>
      <w:r>
        <w:rPr>
          <w:rFonts w:cstheme="minorHAnsi"/>
        </w:rPr>
        <w:t xml:space="preserve">En conséquence, </w:t>
      </w:r>
      <w:r w:rsidR="00CB3C75">
        <w:rPr>
          <w:rFonts w:cstheme="minorHAnsi"/>
        </w:rPr>
        <w:t>les travaux</w:t>
      </w:r>
      <w:r>
        <w:rPr>
          <w:rFonts w:cstheme="minorHAnsi"/>
        </w:rPr>
        <w:t>, en ce qu’il</w:t>
      </w:r>
      <w:r w:rsidR="00CB3C75">
        <w:rPr>
          <w:rFonts w:cstheme="minorHAnsi"/>
        </w:rPr>
        <w:t>s</w:t>
      </w:r>
      <w:r>
        <w:rPr>
          <w:rFonts w:cstheme="minorHAnsi"/>
        </w:rPr>
        <w:t xml:space="preserve"> porte</w:t>
      </w:r>
      <w:r w:rsidR="00CB3C75">
        <w:rPr>
          <w:rFonts w:cstheme="minorHAnsi"/>
        </w:rPr>
        <w:t>nt</w:t>
      </w:r>
      <w:r>
        <w:rPr>
          <w:rFonts w:cstheme="minorHAnsi"/>
        </w:rPr>
        <w:t xml:space="preserve"> sur l’immeuble existant, </w:t>
      </w:r>
      <w:r w:rsidR="00CB3C75">
        <w:rPr>
          <w:rFonts w:cstheme="minorHAnsi"/>
        </w:rPr>
        <w:t xml:space="preserve">n’ont pas conduit </w:t>
      </w:r>
      <w:r>
        <w:rPr>
          <w:rFonts w:cstheme="minorHAnsi"/>
        </w:rPr>
        <w:t xml:space="preserve">à la production d’un immeuble neuf en application des articles 257, I-2-2° du Code général des impôts et 245 A de l’annexe II audit code, tels que précisés par les commentaires administratifs publiés au BOFiP sous la référence </w:t>
      </w:r>
      <w:r w:rsidRPr="00922577">
        <w:rPr>
          <w:rFonts w:cstheme="minorHAnsi"/>
        </w:rPr>
        <w:t>BOI-TVA-IMM-10-10-10-20-20140929</w:t>
      </w:r>
      <w:r>
        <w:rPr>
          <w:rFonts w:cstheme="minorHAnsi"/>
        </w:rPr>
        <w:t>.</w:t>
      </w:r>
    </w:p>
    <w:p w14:paraId="4CF917A8" w14:textId="77777777" w:rsidR="00CB3C75" w:rsidRDefault="00CB3C75">
      <w:r>
        <w:br w:type="page"/>
      </w:r>
    </w:p>
    <w:p w14:paraId="3737C173" w14:textId="6CCB69C7" w:rsidR="001A19D3" w:rsidRDefault="00CB3C75" w:rsidP="000A16D9">
      <w:pPr>
        <w:spacing w:after="0"/>
        <w:jc w:val="both"/>
      </w:pPr>
      <w:r>
        <w:lastRenderedPageBreak/>
        <w:t>Les travaux</w:t>
      </w:r>
      <w:r w:rsidR="000A16D9">
        <w:t xml:space="preserve"> </w:t>
      </w:r>
      <w:r>
        <w:t xml:space="preserve">ont </w:t>
      </w:r>
      <w:r w:rsidR="000A16D9">
        <w:t>toutefois</w:t>
      </w:r>
      <w:r>
        <w:t xml:space="preserve"> conduit</w:t>
      </w:r>
      <w:r w:rsidR="001A19D3">
        <w:t xml:space="preserve"> à remettre à l’état neuf, </w:t>
      </w:r>
      <w:r w:rsidR="001A19D3" w:rsidRPr="004A0218">
        <w:t>dans une proportion supérieure aux 2/3</w:t>
      </w:r>
      <w:r w:rsidR="001A19D3">
        <w:t>, le</w:t>
      </w:r>
      <w:r w:rsidR="001A19D3" w:rsidRPr="004A0218">
        <w:t>s éléments de second œuvre</w:t>
      </w:r>
      <w:r w:rsidR="001A19D3">
        <w:t xml:space="preserve"> suivant </w:t>
      </w:r>
      <w:r w:rsidR="001A19D3" w:rsidRPr="004A0218">
        <w:t xml:space="preserve">:  </w:t>
      </w:r>
    </w:p>
    <w:p w14:paraId="71053B01" w14:textId="77777777" w:rsidR="001A19D3" w:rsidRPr="004A0218" w:rsidRDefault="001A19D3" w:rsidP="001A19D3">
      <w:pPr>
        <w:spacing w:after="0"/>
      </w:pPr>
    </w:p>
    <w:p w14:paraId="3713534F" w14:textId="77777777" w:rsidR="007E4B34"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w:t>
      </w:r>
      <w:r w:rsidRPr="00B46D3E">
        <w:rPr>
          <w:rFonts w:asciiTheme="minorHAnsi" w:eastAsiaTheme="minorHAnsi" w:hAnsiTheme="minorHAnsi" w:cstheme="minorHAnsi"/>
          <w:sz w:val="22"/>
          <w:szCs w:val="22"/>
          <w:lang w:val="fr-FR" w:bidi="ar-SA"/>
        </w:rPr>
        <w:t>es huisseries extérieures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7B6FC21B" w14:textId="77777777" w:rsidR="007E4B34" w:rsidRPr="00B46D3E" w:rsidRDefault="007E4B34" w:rsidP="00900658">
      <w:pPr>
        <w:pStyle w:val="ListParagraph"/>
        <w:keepNext w:val="0"/>
        <w:keepLines w:val="0"/>
        <w:widowControl w:val="0"/>
        <w:ind w:left="1068"/>
        <w:rPr>
          <w:rFonts w:asciiTheme="minorHAnsi" w:eastAsiaTheme="minorHAnsi" w:hAnsiTheme="minorHAnsi" w:cstheme="minorHAnsi"/>
          <w:sz w:val="22"/>
          <w:szCs w:val="22"/>
          <w:lang w:val="fr-FR" w:bidi="ar-SA"/>
        </w:rPr>
      </w:pPr>
    </w:p>
    <w:p w14:paraId="09767FCC" w14:textId="77777777" w:rsidR="007E4B34"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le</w:t>
      </w:r>
      <w:r w:rsidRPr="00B46D3E">
        <w:rPr>
          <w:rFonts w:asciiTheme="minorHAnsi" w:eastAsiaTheme="minorHAnsi" w:hAnsiTheme="minorHAnsi" w:cstheme="minorHAnsi"/>
          <w:sz w:val="22"/>
          <w:szCs w:val="22"/>
          <w:lang w:val="fr-FR" w:bidi="ar-SA"/>
        </w:rPr>
        <w:t>s cloisons intérieures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22115D7F" w14:textId="77777777" w:rsidR="007E4B34" w:rsidRPr="00B46D3E" w:rsidRDefault="007E4B34" w:rsidP="00900658">
      <w:pPr>
        <w:pStyle w:val="ListParagraph"/>
        <w:keepNext w:val="0"/>
        <w:keepLines w:val="0"/>
        <w:widowControl w:val="0"/>
        <w:rPr>
          <w:rFonts w:asciiTheme="minorHAnsi" w:eastAsiaTheme="minorHAnsi" w:hAnsiTheme="minorHAnsi" w:cstheme="minorHAnsi"/>
          <w:sz w:val="22"/>
          <w:szCs w:val="22"/>
          <w:lang w:val="fr-FR" w:bidi="ar-SA"/>
        </w:rPr>
      </w:pPr>
    </w:p>
    <w:p w14:paraId="0F3CA74F" w14:textId="77777777" w:rsidR="007E4B34" w:rsidRPr="00B46D3E"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le</w:t>
      </w:r>
      <w:r w:rsidRPr="00B46D3E">
        <w:rPr>
          <w:rFonts w:asciiTheme="minorHAnsi" w:eastAsiaTheme="minorHAnsi" w:hAnsiTheme="minorHAnsi" w:cstheme="minorHAnsi"/>
          <w:sz w:val="22"/>
          <w:szCs w:val="22"/>
          <w:lang w:val="fr-FR" w:bidi="ar-SA"/>
        </w:rPr>
        <w:t>s installations sanitaires et de plomberie</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24EB30D5" w14:textId="77777777" w:rsidR="007E4B34" w:rsidRPr="004A0218" w:rsidRDefault="007E4B34" w:rsidP="00900658">
      <w:pPr>
        <w:pStyle w:val="ListParagraph"/>
        <w:keepNext w:val="0"/>
        <w:keepLines w:val="0"/>
        <w:widowControl w:val="0"/>
        <w:rPr>
          <w:rFonts w:asciiTheme="minorHAnsi" w:eastAsiaTheme="minorHAnsi" w:hAnsiTheme="minorHAnsi" w:cstheme="minorHAnsi"/>
          <w:sz w:val="22"/>
          <w:szCs w:val="22"/>
          <w:lang w:val="fr-FR" w:bidi="ar-SA"/>
        </w:rPr>
      </w:pPr>
    </w:p>
    <w:p w14:paraId="6DBD1885" w14:textId="77777777" w:rsidR="007E4B34" w:rsidRPr="004A0218"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le</w:t>
      </w:r>
      <w:r w:rsidRPr="004A0218">
        <w:rPr>
          <w:rFonts w:asciiTheme="minorHAnsi" w:eastAsiaTheme="minorHAnsi" w:hAnsiTheme="minorHAnsi" w:cstheme="minorHAnsi"/>
          <w:sz w:val="22"/>
          <w:szCs w:val="22"/>
          <w:lang w:val="fr-FR" w:bidi="ar-SA"/>
        </w:rPr>
        <w:t>s installations électriques</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0A62888D" w14:textId="77777777" w:rsidR="007E4B34" w:rsidRPr="004A0218" w:rsidRDefault="007E4B34" w:rsidP="00900658">
      <w:pPr>
        <w:pStyle w:val="ListParagraph"/>
        <w:keepNext w:val="0"/>
        <w:keepLines w:val="0"/>
        <w:widowControl w:val="0"/>
        <w:rPr>
          <w:rFonts w:asciiTheme="minorHAnsi" w:eastAsiaTheme="minorHAnsi" w:hAnsiTheme="minorHAnsi" w:cstheme="minorHAnsi"/>
          <w:sz w:val="22"/>
          <w:szCs w:val="22"/>
          <w:lang w:val="fr-FR" w:bidi="ar-SA"/>
        </w:rPr>
      </w:pPr>
    </w:p>
    <w:p w14:paraId="1ECFFD68" w14:textId="7565B15B" w:rsidR="001A19D3" w:rsidRPr="00900658" w:rsidRDefault="007E4B34" w:rsidP="00900658">
      <w:pPr>
        <w:pStyle w:val="ListParagraph"/>
        <w:keepNext w:val="0"/>
        <w:keepLines w:val="0"/>
        <w:widowControl w:val="0"/>
        <w:numPr>
          <w:ilvl w:val="0"/>
          <w:numId w:val="1"/>
        </w:numPr>
        <w:rPr>
          <w:rFonts w:asciiTheme="minorHAnsi" w:eastAsiaTheme="minorHAnsi" w:hAnsiTheme="minorHAnsi" w:cstheme="minorHAnsi"/>
          <w:sz w:val="22"/>
          <w:szCs w:val="22"/>
          <w:lang w:val="fr-FR" w:bidi="ar-SA"/>
        </w:rPr>
      </w:pPr>
      <w:r>
        <w:rPr>
          <w:rFonts w:asciiTheme="minorHAnsi" w:eastAsiaTheme="minorHAnsi" w:hAnsiTheme="minorHAnsi" w:cstheme="minorHAnsi"/>
          <w:sz w:val="22"/>
          <w:szCs w:val="22"/>
          <w:lang w:val="fr-FR" w:bidi="ar-SA"/>
        </w:rPr>
        <w:t>le</w:t>
      </w:r>
      <w:r w:rsidRPr="004A0218">
        <w:rPr>
          <w:rFonts w:asciiTheme="minorHAnsi" w:eastAsiaTheme="minorHAnsi" w:hAnsiTheme="minorHAnsi" w:cstheme="minorHAnsi"/>
          <w:sz w:val="22"/>
          <w:szCs w:val="22"/>
          <w:lang w:val="fr-FR" w:bidi="ar-SA"/>
        </w:rPr>
        <w:t xml:space="preserve"> système de chauffage</w:t>
      </w:r>
      <w:r>
        <w:rPr>
          <w:rFonts w:asciiTheme="minorHAnsi" w:eastAsiaTheme="minorHAnsi" w:hAnsiTheme="minorHAnsi" w:cstheme="minorHAnsi"/>
          <w:sz w:val="22"/>
          <w:szCs w:val="22"/>
          <w:lang w:val="fr-FR" w:bidi="ar-SA"/>
        </w:rPr>
        <w:t xml:space="preserve">, </w:t>
      </w:r>
      <w:r>
        <w:rPr>
          <w:rFonts w:asciiTheme="minorHAnsi" w:hAnsiTheme="minorHAnsi" w:cstheme="minorHAnsi"/>
          <w:sz w:val="22"/>
          <w:szCs w:val="22"/>
          <w:lang w:val="fr-FR"/>
        </w:rPr>
        <w:t xml:space="preserve">à hauteur de </w:t>
      </w:r>
      <w:r>
        <w:rPr>
          <w:rFonts w:asciiTheme="minorHAnsi" w:eastAsiaTheme="minorHAnsi" w:hAnsiTheme="minorHAnsi" w:cstheme="minorHAnsi"/>
          <w:sz w:val="22"/>
          <w:szCs w:val="22"/>
          <w:lang w:val="fr-FR" w:bidi="ar-SA"/>
        </w:rPr>
        <w:t>[</w:t>
      </w:r>
      <w:r>
        <w:rPr>
          <w:rFonts w:asciiTheme="minorHAnsi" w:eastAsiaTheme="minorHAnsi" w:hAnsiTheme="minorHAnsi" w:cstheme="minorHAnsi"/>
          <w:sz w:val="22"/>
          <w:szCs w:val="22"/>
          <w:highlight w:val="yellow"/>
          <w:lang w:val="fr-FR" w:bidi="ar-SA"/>
        </w:rPr>
        <w:t>I</w:t>
      </w:r>
      <w:r w:rsidRPr="00CC3105">
        <w:rPr>
          <w:rFonts w:asciiTheme="minorHAnsi" w:eastAsiaTheme="minorHAnsi" w:hAnsiTheme="minorHAnsi" w:cstheme="minorHAnsi"/>
          <w:sz w:val="22"/>
          <w:szCs w:val="22"/>
          <w:highlight w:val="yellow"/>
          <w:lang w:val="fr-FR" w:bidi="ar-SA"/>
        </w:rPr>
        <w:t>ndi</w:t>
      </w:r>
      <w:r>
        <w:rPr>
          <w:rFonts w:asciiTheme="minorHAnsi" w:eastAsiaTheme="minorHAnsi" w:hAnsiTheme="minorHAnsi" w:cstheme="minorHAnsi"/>
          <w:sz w:val="22"/>
          <w:szCs w:val="22"/>
          <w:highlight w:val="yellow"/>
          <w:lang w:val="fr-FR" w:bidi="ar-SA"/>
        </w:rPr>
        <w:t>quer le</w:t>
      </w:r>
      <w:r w:rsidRPr="00CC3105">
        <w:rPr>
          <w:rFonts w:asciiTheme="minorHAnsi" w:eastAsiaTheme="minorHAnsi" w:hAnsiTheme="minorHAnsi" w:cstheme="minorHAnsi"/>
          <w:sz w:val="22"/>
          <w:szCs w:val="22"/>
          <w:highlight w:val="yellow"/>
          <w:lang w:val="fr-FR" w:bidi="ar-SA"/>
        </w:rPr>
        <w:t xml:space="preserve"> pourcentage remis à neuf</w:t>
      </w:r>
      <w:r>
        <w:rPr>
          <w:rFonts w:asciiTheme="minorHAnsi" w:eastAsiaTheme="minorHAnsi" w:hAnsiTheme="minorHAnsi" w:cstheme="minorHAnsi"/>
          <w:sz w:val="22"/>
          <w:szCs w:val="22"/>
          <w:lang w:val="fr-FR" w:bidi="ar-SA"/>
        </w:rPr>
        <w:t>]%</w:t>
      </w:r>
    </w:p>
    <w:p w14:paraId="33AF77CD" w14:textId="77777777" w:rsidR="00900658" w:rsidRDefault="00900658" w:rsidP="001A19D3">
      <w:pPr>
        <w:spacing w:after="0"/>
        <w:jc w:val="both"/>
        <w:rPr>
          <w:rFonts w:cstheme="minorHAnsi"/>
        </w:rPr>
      </w:pPr>
    </w:p>
    <w:p w14:paraId="6121461D" w14:textId="5951D6EF" w:rsidR="001A19D3" w:rsidRDefault="001A19D3" w:rsidP="001A19D3">
      <w:pPr>
        <w:spacing w:after="0"/>
        <w:jc w:val="both"/>
        <w:rPr>
          <w:rFonts w:cstheme="minorHAnsi"/>
        </w:rPr>
      </w:pPr>
      <w:r>
        <w:rPr>
          <w:rFonts w:cstheme="minorHAnsi"/>
        </w:rPr>
        <w:t xml:space="preserve">La définition fiscale de ces divers éléments, </w:t>
      </w:r>
      <w:r w:rsidR="00922577">
        <w:rPr>
          <w:rFonts w:cstheme="minorHAnsi"/>
        </w:rPr>
        <w:t xml:space="preserve">donnée par l’administration fiscale, </w:t>
      </w:r>
      <w:r>
        <w:rPr>
          <w:rFonts w:cstheme="minorHAnsi"/>
        </w:rPr>
        <w:t>ainsi que les travaux qualifiant sont précisés dans la notice ci-annexée.</w:t>
      </w:r>
    </w:p>
    <w:p w14:paraId="1564F7B4" w14:textId="2B2A4221" w:rsidR="00922577" w:rsidRDefault="00922577" w:rsidP="001A19D3">
      <w:pPr>
        <w:spacing w:after="0"/>
        <w:jc w:val="both"/>
        <w:rPr>
          <w:rFonts w:cstheme="minorHAnsi"/>
        </w:rPr>
      </w:pPr>
    </w:p>
    <w:p w14:paraId="30117370" w14:textId="1B4D7E3F" w:rsidR="00922577" w:rsidRDefault="000A16D9" w:rsidP="00922577">
      <w:pPr>
        <w:spacing w:after="0"/>
        <w:jc w:val="both"/>
        <w:rPr>
          <w:rFonts w:cstheme="minorHAnsi"/>
        </w:rPr>
      </w:pPr>
      <w:r>
        <w:rPr>
          <w:rFonts w:cstheme="minorHAnsi"/>
        </w:rPr>
        <w:t>Par ailleurs, l</w:t>
      </w:r>
      <w:r w:rsidR="00C834CF">
        <w:rPr>
          <w:rFonts w:cstheme="minorHAnsi"/>
        </w:rPr>
        <w:t xml:space="preserve">es travaux </w:t>
      </w:r>
      <w:r w:rsidR="00CB3C75">
        <w:rPr>
          <w:rFonts w:cstheme="minorHAnsi"/>
        </w:rPr>
        <w:t xml:space="preserve">n’ont pas donné </w:t>
      </w:r>
      <w:r w:rsidR="00C834CF">
        <w:rPr>
          <w:rFonts w:cstheme="minorHAnsi"/>
        </w:rPr>
        <w:t>lieu à l’application du taux réduit de TVA prévu à l’article 279-0 bis du Code général des impôts.</w:t>
      </w:r>
    </w:p>
    <w:p w14:paraId="5AB5626A" w14:textId="77777777" w:rsidR="00922577" w:rsidRDefault="00922577" w:rsidP="00922577">
      <w:pPr>
        <w:spacing w:after="0"/>
        <w:jc w:val="both"/>
        <w:rPr>
          <w:rFonts w:cstheme="minorHAnsi"/>
        </w:rPr>
      </w:pPr>
    </w:p>
    <w:p w14:paraId="73DF0F76" w14:textId="4F575201" w:rsidR="00467091" w:rsidRDefault="006B6BA8" w:rsidP="00C834CF">
      <w:pPr>
        <w:spacing w:after="0"/>
        <w:jc w:val="both"/>
        <w:rPr>
          <w:rFonts w:cstheme="minorHAnsi"/>
        </w:rPr>
      </w:pPr>
      <w:r>
        <w:rPr>
          <w:rFonts w:cstheme="minorHAnsi"/>
        </w:rPr>
        <w:t xml:space="preserve">En conséquence, </w:t>
      </w:r>
      <w:r w:rsidR="00CB3C75">
        <w:rPr>
          <w:rFonts w:cstheme="minorHAnsi"/>
        </w:rPr>
        <w:t>les travaux</w:t>
      </w:r>
      <w:r w:rsidR="00C834CF">
        <w:rPr>
          <w:rFonts w:cstheme="minorHAnsi"/>
        </w:rPr>
        <w:t>,</w:t>
      </w:r>
      <w:r w:rsidR="00C834CF" w:rsidRPr="00C834CF">
        <w:rPr>
          <w:rFonts w:cstheme="minorHAnsi"/>
        </w:rPr>
        <w:t xml:space="preserve"> </w:t>
      </w:r>
      <w:r w:rsidR="00C834CF">
        <w:rPr>
          <w:rFonts w:cstheme="minorHAnsi"/>
        </w:rPr>
        <w:t>en ce qu’il</w:t>
      </w:r>
      <w:r w:rsidR="00CB3C75">
        <w:rPr>
          <w:rFonts w:cstheme="minorHAnsi"/>
        </w:rPr>
        <w:t>s</w:t>
      </w:r>
      <w:r w:rsidR="00C834CF">
        <w:rPr>
          <w:rFonts w:cstheme="minorHAnsi"/>
        </w:rPr>
        <w:t xml:space="preserve"> porte</w:t>
      </w:r>
      <w:r w:rsidR="00CB3C75">
        <w:rPr>
          <w:rFonts w:cstheme="minorHAnsi"/>
        </w:rPr>
        <w:t>nt</w:t>
      </w:r>
      <w:r w:rsidR="00C834CF">
        <w:rPr>
          <w:rFonts w:cstheme="minorHAnsi"/>
        </w:rPr>
        <w:t xml:space="preserve"> sur l’immeuble existant, </w:t>
      </w:r>
      <w:r w:rsidR="00CB3C75">
        <w:rPr>
          <w:rFonts w:cstheme="minorHAnsi"/>
        </w:rPr>
        <w:t>peuvent être</w:t>
      </w:r>
      <w:r w:rsidR="00C834CF">
        <w:rPr>
          <w:rFonts w:cstheme="minorHAnsi"/>
        </w:rPr>
        <w:t xml:space="preserve"> regardé</w:t>
      </w:r>
      <w:r w:rsidR="00CB3C75">
        <w:rPr>
          <w:rFonts w:cstheme="minorHAnsi"/>
        </w:rPr>
        <w:t>s</w:t>
      </w:r>
      <w:r w:rsidR="00C834CF">
        <w:rPr>
          <w:rFonts w:cstheme="minorHAnsi"/>
        </w:rPr>
        <w:t xml:space="preserve"> comme conduisant à la production d’un immeuble neuf pour les besoins de</w:t>
      </w:r>
      <w:r w:rsidR="00467091">
        <w:rPr>
          <w:rFonts w:cstheme="minorHAnsi"/>
        </w:rPr>
        <w:t xml:space="preserve"> l’article 1594 F quinquies</w:t>
      </w:r>
      <w:r w:rsidR="000948CF">
        <w:rPr>
          <w:rFonts w:cstheme="minorHAnsi"/>
        </w:rPr>
        <w:t>,</w:t>
      </w:r>
      <w:r w:rsidR="00467091">
        <w:rPr>
          <w:rFonts w:cstheme="minorHAnsi"/>
        </w:rPr>
        <w:t xml:space="preserve"> A du Code général des impôts,</w:t>
      </w:r>
      <w:r w:rsidR="00BF2070">
        <w:rPr>
          <w:rFonts w:cstheme="minorHAnsi"/>
        </w:rPr>
        <w:t xml:space="preserve"> en application de la tolérance</w:t>
      </w:r>
      <w:r w:rsidR="00467091">
        <w:rPr>
          <w:rFonts w:cstheme="minorHAnsi"/>
        </w:rPr>
        <w:t xml:space="preserve"> administrative prévue au BOFiP sous la référence </w:t>
      </w:r>
      <w:r w:rsidR="00467091" w:rsidRPr="00C834CF">
        <w:rPr>
          <w:rFonts w:cstheme="minorHAnsi"/>
        </w:rPr>
        <w:t>BOI-ENR-DMTOI-10-40-20160601, ci-après rappelée</w:t>
      </w:r>
      <w:r w:rsidR="00467091">
        <w:rPr>
          <w:rFonts w:cstheme="minorHAnsi"/>
        </w:rPr>
        <w:t> :</w:t>
      </w:r>
    </w:p>
    <w:p w14:paraId="5B6229EC" w14:textId="77777777" w:rsidR="00467091" w:rsidRDefault="00467091" w:rsidP="00C834CF">
      <w:pPr>
        <w:spacing w:after="0"/>
        <w:jc w:val="both"/>
        <w:rPr>
          <w:rFonts w:cstheme="minorHAnsi"/>
        </w:rPr>
      </w:pPr>
    </w:p>
    <w:p w14:paraId="7C37099B" w14:textId="77777777" w:rsidR="00467091" w:rsidRDefault="00467091" w:rsidP="00467091">
      <w:pPr>
        <w:widowControl w:val="0"/>
        <w:spacing w:after="0"/>
        <w:ind w:left="709" w:right="706"/>
        <w:jc w:val="both"/>
      </w:pPr>
      <w:r w:rsidRPr="00C834CF">
        <w:rPr>
          <w:rFonts w:cstheme="minorHAnsi"/>
        </w:rPr>
        <w:t> </w:t>
      </w:r>
      <w:r>
        <w:t>120 « </w:t>
      </w:r>
      <w:r w:rsidRPr="0000060B">
        <w:rPr>
          <w:i/>
        </w:rPr>
        <w:t>Lorsque l'immeuble a fait l'objet de travaux de second œuvre qui n'ont pas donné lieu à l'application du taux réduit de TVA prévu à l'</w:t>
      </w:r>
      <w:hyperlink r:id="rId7" w:tgtFrame="_blank" w:tooltip="Code général des impôts Article 279-0 bis" w:history="1">
        <w:r w:rsidRPr="0000060B">
          <w:rPr>
            <w:i/>
          </w:rPr>
          <w:t>article 279-0 bis du CGI</w:t>
        </w:r>
      </w:hyperlink>
      <w:r w:rsidRPr="0000060B">
        <w:rPr>
          <w:i/>
        </w:rPr>
        <w:t xml:space="preserve"> et que tous les planchers de l'immeuble contribuent à la résistance ou à la solidité de l'ouvrage, il demeure admis que le A de l'article 1594 F quinquies du CGI trouve à s'appliquer, nonobstant l'application éventuelle de l'</w:t>
      </w:r>
      <w:hyperlink r:id="rId8" w:tgtFrame="_blank" w:tooltip="Code général des impôts Article 268" w:history="1">
        <w:r w:rsidRPr="0000060B">
          <w:rPr>
            <w:i/>
          </w:rPr>
          <w:t>article 268 du CGI</w:t>
        </w:r>
      </w:hyperlink>
      <w:r w:rsidRPr="0000060B">
        <w:rPr>
          <w:i/>
        </w:rPr>
        <w:t>, en ne prenant en compte que les cinq autres éléments mentionnés à l'</w:t>
      </w:r>
      <w:hyperlink r:id="rId9" w:tgtFrame="_blank" w:tooltip="Code général des impôts, annexe 2 Article 245 A" w:history="1">
        <w:r w:rsidRPr="0000060B">
          <w:rPr>
            <w:i/>
          </w:rPr>
          <w:t>article 245 A de l'annexe II au CGI</w:t>
        </w:r>
      </w:hyperlink>
      <w:r w:rsidRPr="0000060B">
        <w:rPr>
          <w:i/>
        </w:rPr>
        <w:t xml:space="preserve"> pour déterminer si l'immeuble a été rendu à l'état neuf au regard du d) du 2° du 2 du I de l'</w:t>
      </w:r>
      <w:hyperlink r:id="rId10" w:tgtFrame="_blank" w:tooltip="Code général des impôts Article 257" w:history="1">
        <w:r w:rsidRPr="0000060B">
          <w:rPr>
            <w:i/>
          </w:rPr>
          <w:t>article 257 du CGI</w:t>
        </w:r>
      </w:hyperlink>
      <w:r w:rsidRPr="0000060B">
        <w:rPr>
          <w:i/>
        </w:rPr>
        <w:t>.</w:t>
      </w:r>
      <w:r>
        <w:t> »</w:t>
      </w:r>
    </w:p>
    <w:p w14:paraId="65E813FC" w14:textId="667870BF" w:rsidR="00467091" w:rsidRDefault="00467091" w:rsidP="00C834CF">
      <w:pPr>
        <w:spacing w:after="0"/>
        <w:jc w:val="both"/>
        <w:rPr>
          <w:rFonts w:cstheme="minorHAnsi"/>
        </w:rPr>
      </w:pPr>
    </w:p>
    <w:p w14:paraId="7FEF5691" w14:textId="5F6D7A62" w:rsidR="00922577" w:rsidRDefault="00922577" w:rsidP="00F36403">
      <w:pPr>
        <w:spacing w:after="0"/>
      </w:pPr>
    </w:p>
    <w:p w14:paraId="05FCDA78" w14:textId="77777777" w:rsidR="00C834CF" w:rsidRDefault="00C834CF" w:rsidP="00F36403">
      <w:pPr>
        <w:spacing w:after="0"/>
      </w:pPr>
    </w:p>
    <w:p w14:paraId="2840CB73" w14:textId="1C2088C4" w:rsidR="00922577" w:rsidRDefault="00C834CF" w:rsidP="00C834CF">
      <w:pPr>
        <w:spacing w:after="0"/>
        <w:jc w:val="center"/>
      </w:pPr>
      <w:r>
        <w:t>*</w:t>
      </w:r>
      <w:r>
        <w:tab/>
      </w:r>
      <w:r>
        <w:tab/>
        <w:t>*</w:t>
      </w:r>
    </w:p>
    <w:p w14:paraId="272B9701" w14:textId="35F6FDA5" w:rsidR="00C834CF" w:rsidRDefault="00C834CF" w:rsidP="00C834CF">
      <w:pPr>
        <w:spacing w:after="0"/>
        <w:jc w:val="center"/>
      </w:pPr>
      <w:r>
        <w:t>*</w:t>
      </w:r>
    </w:p>
    <w:p w14:paraId="4D28E589" w14:textId="77777777" w:rsidR="00922577" w:rsidRDefault="00922577" w:rsidP="00F36403">
      <w:pPr>
        <w:spacing w:after="0"/>
      </w:pPr>
    </w:p>
    <w:p w14:paraId="665A1935" w14:textId="58C9B4C6" w:rsidR="004949A2" w:rsidRDefault="004949A2" w:rsidP="00F36403">
      <w:pPr>
        <w:spacing w:after="0"/>
      </w:pPr>
      <w:r w:rsidRPr="004A0218">
        <w:t>Fait à [</w:t>
      </w:r>
      <w:r w:rsidRPr="004A0218">
        <w:rPr>
          <w:highlight w:val="yellow"/>
        </w:rPr>
        <w:t>Lieu</w:t>
      </w:r>
      <w:r w:rsidRPr="004A0218">
        <w:t>], le [</w:t>
      </w:r>
      <w:r w:rsidRPr="004A0218">
        <w:rPr>
          <w:highlight w:val="yellow"/>
        </w:rPr>
        <w:t>date]</w:t>
      </w:r>
    </w:p>
    <w:p w14:paraId="298606D5" w14:textId="77777777" w:rsidR="006B6BA8" w:rsidRPr="004A0218" w:rsidRDefault="006B6BA8" w:rsidP="00F36403">
      <w:pPr>
        <w:spacing w:after="0"/>
      </w:pPr>
    </w:p>
    <w:p w14:paraId="247F1131" w14:textId="0FCE495E" w:rsidR="00F7095F" w:rsidRDefault="00C834CF" w:rsidP="00184939">
      <w:pPr>
        <w:spacing w:after="0"/>
      </w:pPr>
      <w:r>
        <w:rPr>
          <w:highlight w:val="yellow"/>
        </w:rPr>
        <w:t>[</w:t>
      </w:r>
      <w:r w:rsidR="00184939">
        <w:rPr>
          <w:highlight w:val="yellow"/>
        </w:rPr>
        <w:t>Nom, fonction, s</w:t>
      </w:r>
      <w:r w:rsidR="004949A2" w:rsidRPr="004A0218">
        <w:rPr>
          <w:highlight w:val="yellow"/>
        </w:rPr>
        <w:t>ignature</w:t>
      </w:r>
      <w:r>
        <w:t>]</w:t>
      </w:r>
      <w:r w:rsidR="00F7095F">
        <w:br w:type="page"/>
      </w:r>
    </w:p>
    <w:p w14:paraId="2E7E6DC6" w14:textId="4D01D2E0" w:rsidR="006B0456" w:rsidRDefault="005D0FFB" w:rsidP="005D0FFB">
      <w:pPr>
        <w:jc w:val="center"/>
        <w:rPr>
          <w:b/>
          <w:color w:val="365F91" w:themeColor="accent1" w:themeShade="BF"/>
          <w:sz w:val="32"/>
          <w:szCs w:val="32"/>
        </w:rPr>
      </w:pPr>
      <w:r w:rsidRPr="005D0FFB">
        <w:rPr>
          <w:b/>
          <w:color w:val="365F91" w:themeColor="accent1" w:themeShade="BF"/>
          <w:sz w:val="32"/>
          <w:szCs w:val="32"/>
        </w:rPr>
        <w:lastRenderedPageBreak/>
        <w:t>NOTICE D’UTILISATION DE L’ATTESTATION</w:t>
      </w:r>
    </w:p>
    <w:p w14:paraId="4BC3C5A4" w14:textId="3CB95F01" w:rsidR="009C387B" w:rsidRPr="006B0456" w:rsidRDefault="006B0456" w:rsidP="005D0FFB">
      <w:pPr>
        <w:jc w:val="center"/>
        <w:rPr>
          <w:b/>
          <w:color w:val="365F91" w:themeColor="accent1" w:themeShade="BF"/>
          <w:sz w:val="32"/>
          <w:szCs w:val="32"/>
          <w:u w:val="single"/>
        </w:rPr>
      </w:pPr>
      <w:r w:rsidRPr="006B0456">
        <w:rPr>
          <w:b/>
          <w:color w:val="365F91" w:themeColor="accent1" w:themeShade="BF"/>
          <w:sz w:val="32"/>
          <w:szCs w:val="32"/>
          <w:u w:val="single"/>
        </w:rPr>
        <w:t>A ANNEXER A l’ATTESTATION REMPLIE ET SIGNEE</w:t>
      </w:r>
    </w:p>
    <w:p w14:paraId="17B7E109" w14:textId="4C7B5D63" w:rsidR="005D0FFB" w:rsidRDefault="005D0FFB" w:rsidP="00F36403">
      <w:pPr>
        <w:spacing w:after="0"/>
      </w:pPr>
    </w:p>
    <w:p w14:paraId="33BA7E80" w14:textId="4B1611F4" w:rsidR="005D0FFB" w:rsidRDefault="005D0FFB" w:rsidP="00D5787B">
      <w:pPr>
        <w:pStyle w:val="Heading2"/>
        <w:numPr>
          <w:ilvl w:val="0"/>
          <w:numId w:val="13"/>
        </w:numPr>
        <w:spacing w:before="0" w:line="240" w:lineRule="auto"/>
        <w:jc w:val="both"/>
      </w:pPr>
      <w:r>
        <w:t>Instructions d’ordre général</w:t>
      </w:r>
    </w:p>
    <w:p w14:paraId="0306EC4F" w14:textId="77777777" w:rsidR="005D0FFB" w:rsidRDefault="005D0FFB" w:rsidP="00D5787B">
      <w:pPr>
        <w:spacing w:after="0" w:line="240" w:lineRule="auto"/>
        <w:jc w:val="both"/>
      </w:pPr>
    </w:p>
    <w:p w14:paraId="588C8857" w14:textId="551C2A9E" w:rsidR="005D0FFB" w:rsidRDefault="005D0FFB" w:rsidP="00D5787B">
      <w:pPr>
        <w:spacing w:after="0" w:line="240" w:lineRule="auto"/>
        <w:jc w:val="both"/>
      </w:pPr>
      <w:r>
        <w:t xml:space="preserve">Les paragraphes </w:t>
      </w:r>
      <w:r w:rsidR="00516541">
        <w:t xml:space="preserve">apparaissant en rouge, </w:t>
      </w:r>
      <w:r>
        <w:t>entre crochets</w:t>
      </w:r>
      <w:r w:rsidR="00516541">
        <w:t>, co</w:t>
      </w:r>
      <w:r>
        <w:t>rrespondent aux instructions et sont à supprimer lors du remplissage de l’attestation.</w:t>
      </w:r>
    </w:p>
    <w:p w14:paraId="7E84ECBF" w14:textId="77777777" w:rsidR="005D0FFB" w:rsidRDefault="005D0FFB" w:rsidP="00D5787B">
      <w:pPr>
        <w:spacing w:after="0" w:line="240" w:lineRule="auto"/>
        <w:jc w:val="both"/>
      </w:pPr>
    </w:p>
    <w:p w14:paraId="41B7C46D" w14:textId="5C76E719" w:rsidR="005D0FFB" w:rsidRDefault="005D0FFB" w:rsidP="00D5787B">
      <w:pPr>
        <w:spacing w:after="0" w:line="240" w:lineRule="auto"/>
        <w:jc w:val="both"/>
      </w:pPr>
      <w:r>
        <w:t>Les paragraphes surlignés en jaune correspondent aux parties à compléter.</w:t>
      </w:r>
    </w:p>
    <w:p w14:paraId="4561934C" w14:textId="19B13C34" w:rsidR="005D0FFB" w:rsidRDefault="005D0FFB" w:rsidP="00D5787B">
      <w:pPr>
        <w:spacing w:after="0" w:line="240" w:lineRule="auto"/>
        <w:jc w:val="both"/>
      </w:pPr>
    </w:p>
    <w:p w14:paraId="63C645F4" w14:textId="6185905B" w:rsidR="005D0FFB" w:rsidRDefault="005D0FFB" w:rsidP="00D5787B">
      <w:pPr>
        <w:pStyle w:val="Heading2"/>
        <w:numPr>
          <w:ilvl w:val="0"/>
          <w:numId w:val="13"/>
        </w:numPr>
        <w:spacing w:before="0" w:line="240" w:lineRule="auto"/>
        <w:jc w:val="both"/>
      </w:pPr>
      <w:r>
        <w:t>Précisions apportées par l’administration fiscale</w:t>
      </w:r>
    </w:p>
    <w:p w14:paraId="5BFFE459" w14:textId="77777777" w:rsidR="00AE3282" w:rsidRPr="00AE3282" w:rsidRDefault="00AE3282" w:rsidP="00D5787B">
      <w:pPr>
        <w:spacing w:after="0" w:line="240" w:lineRule="auto"/>
      </w:pPr>
    </w:p>
    <w:p w14:paraId="4A333F24" w14:textId="2B1854E3" w:rsidR="00D43B72" w:rsidRPr="00D43B72" w:rsidRDefault="00D43B72" w:rsidP="00D5787B">
      <w:pPr>
        <w:pStyle w:val="Heading2"/>
        <w:numPr>
          <w:ilvl w:val="1"/>
          <w:numId w:val="13"/>
        </w:numPr>
        <w:spacing w:before="0" w:line="240" w:lineRule="auto"/>
        <w:jc w:val="both"/>
      </w:pPr>
      <w:r>
        <w:t>Notion d’immeuble de référence pour l’appréciation de l’ampleur des travaux</w:t>
      </w:r>
    </w:p>
    <w:p w14:paraId="3CEE0809" w14:textId="32E8B014" w:rsidR="005D0FFB" w:rsidRDefault="005D0FFB" w:rsidP="00D5787B">
      <w:pPr>
        <w:spacing w:after="0" w:line="240" w:lineRule="auto"/>
        <w:jc w:val="both"/>
      </w:pPr>
    </w:p>
    <w:p w14:paraId="35039FAB" w14:textId="77777777" w:rsidR="00016C9C" w:rsidRDefault="00016C9C" w:rsidP="00D5787B">
      <w:pPr>
        <w:spacing w:after="0" w:line="240" w:lineRule="auto"/>
        <w:jc w:val="both"/>
      </w:pPr>
      <w:r w:rsidRPr="00016C9C">
        <w:rPr>
          <w:i/>
          <w:u w:val="single"/>
        </w:rPr>
        <w:t>Principe</w:t>
      </w:r>
      <w:r>
        <w:t> :</w:t>
      </w:r>
    </w:p>
    <w:p w14:paraId="194B92D6" w14:textId="77777777" w:rsidR="00016C9C" w:rsidRDefault="00016C9C" w:rsidP="00D5787B">
      <w:pPr>
        <w:spacing w:after="0" w:line="240" w:lineRule="auto"/>
        <w:jc w:val="both"/>
      </w:pPr>
    </w:p>
    <w:p w14:paraId="322E3DCF" w14:textId="67112F2C" w:rsidR="00D43B72" w:rsidRDefault="00D43B72" w:rsidP="00D5787B">
      <w:pPr>
        <w:spacing w:after="0" w:line="240" w:lineRule="auto"/>
        <w:jc w:val="both"/>
      </w:pPr>
      <w:r w:rsidRPr="00D43B72">
        <w:t xml:space="preserve">Pour l'appréciation de l'ampleur des travaux, et à défaut de circonstances particulières tenant à la configuration des lieux impliquant une appréciation globale de plusieurs bâtiments, un immeuble s'entend d'un </w:t>
      </w:r>
      <w:r w:rsidRPr="00016C9C">
        <w:rPr>
          <w:b/>
        </w:rPr>
        <w:t>bâtiment considéré isolément</w:t>
      </w:r>
      <w:r w:rsidRPr="00D43B72">
        <w:t xml:space="preserve"> y compris lorsque différents bâtiments rénovés sont situés sur une même parcelle.</w:t>
      </w:r>
    </w:p>
    <w:p w14:paraId="18B945A0" w14:textId="034CEC25" w:rsidR="00D43B72" w:rsidRDefault="00D43B72" w:rsidP="00D5787B">
      <w:pPr>
        <w:spacing w:after="0" w:line="240" w:lineRule="auto"/>
        <w:jc w:val="both"/>
      </w:pPr>
    </w:p>
    <w:p w14:paraId="390BF719" w14:textId="33068B83" w:rsidR="00016C9C" w:rsidRDefault="00016C9C" w:rsidP="00D5787B">
      <w:pPr>
        <w:spacing w:after="0" w:line="240" w:lineRule="auto"/>
        <w:jc w:val="both"/>
      </w:pPr>
      <w:r w:rsidRPr="00016C9C">
        <w:rPr>
          <w:i/>
          <w:u w:val="single"/>
        </w:rPr>
        <w:t xml:space="preserve">Cas </w:t>
      </w:r>
      <w:r w:rsidRPr="000534F1">
        <w:rPr>
          <w:i/>
          <w:u w:val="single"/>
        </w:rPr>
        <w:t>particulier </w:t>
      </w:r>
      <w:r w:rsidR="000534F1" w:rsidRPr="000534F1">
        <w:rPr>
          <w:i/>
          <w:u w:val="single"/>
        </w:rPr>
        <w:t xml:space="preserve">des bâtiments </w:t>
      </w:r>
      <w:r w:rsidR="000534F1">
        <w:rPr>
          <w:i/>
          <w:u w:val="single"/>
        </w:rPr>
        <w:t>situés sur plusieurs parcelles cadastrales</w:t>
      </w:r>
      <w:r w:rsidR="000534F1">
        <w:t xml:space="preserve"> </w:t>
      </w:r>
      <w:r>
        <w:t>:</w:t>
      </w:r>
    </w:p>
    <w:p w14:paraId="4CCA0CF7" w14:textId="77777777" w:rsidR="00016C9C" w:rsidRPr="00D43B72" w:rsidRDefault="00016C9C" w:rsidP="00D5787B">
      <w:pPr>
        <w:spacing w:after="0" w:line="240" w:lineRule="auto"/>
        <w:jc w:val="both"/>
      </w:pPr>
    </w:p>
    <w:p w14:paraId="181F5C30" w14:textId="2A3DDE71" w:rsidR="00016C9C" w:rsidRDefault="000534F1" w:rsidP="00D5787B">
      <w:pPr>
        <w:spacing w:after="0" w:line="240" w:lineRule="auto"/>
        <w:jc w:val="both"/>
      </w:pPr>
      <w:r>
        <w:t>L</w:t>
      </w:r>
      <w:r w:rsidR="00D43B72" w:rsidRPr="00D43B72">
        <w:t xml:space="preserve">a nature des travaux s'apprécie au regard de l'ensemble de ces bâtiments réputés </w:t>
      </w:r>
      <w:r w:rsidR="00016C9C">
        <w:t xml:space="preserve">ne </w:t>
      </w:r>
      <w:r w:rsidR="00D43B72" w:rsidRPr="00D43B72">
        <w:t>form</w:t>
      </w:r>
      <w:r w:rsidR="00016C9C">
        <w:t>er qu’</w:t>
      </w:r>
      <w:r w:rsidR="00D43B72" w:rsidRPr="00D43B72">
        <w:t xml:space="preserve">un seul immeuble dès lors qu'ils </w:t>
      </w:r>
      <w:r w:rsidR="00016C9C">
        <w:t xml:space="preserve">(i) </w:t>
      </w:r>
      <w:r w:rsidR="00D43B72" w:rsidRPr="00D43B72">
        <w:t xml:space="preserve">communiquent entre eux horizontalement et verticalement et </w:t>
      </w:r>
      <w:r w:rsidR="00016C9C">
        <w:t xml:space="preserve">(ii) </w:t>
      </w:r>
      <w:r w:rsidR="00D43B72" w:rsidRPr="00D43B72">
        <w:t>disposent des mêmes issues sur la voie publique.</w:t>
      </w:r>
    </w:p>
    <w:p w14:paraId="1736587B" w14:textId="77777777" w:rsidR="00D43B72" w:rsidRPr="00D43B72" w:rsidRDefault="00D43B72" w:rsidP="00D5787B">
      <w:pPr>
        <w:spacing w:after="0" w:line="240" w:lineRule="auto"/>
        <w:jc w:val="both"/>
      </w:pPr>
    </w:p>
    <w:p w14:paraId="43BF671B" w14:textId="10C7F3C3" w:rsidR="00016C9C" w:rsidRDefault="0001645B" w:rsidP="00D5787B">
      <w:pPr>
        <w:spacing w:after="0" w:line="240" w:lineRule="auto"/>
        <w:jc w:val="both"/>
      </w:pPr>
      <w:r w:rsidRPr="0001645B">
        <w:rPr>
          <w:i/>
          <w:u w:val="single"/>
        </w:rPr>
        <w:t>Eléments</w:t>
      </w:r>
      <w:r w:rsidR="00016C9C" w:rsidRPr="0001645B">
        <w:rPr>
          <w:i/>
          <w:u w:val="single"/>
        </w:rPr>
        <w:t xml:space="preserve"> sans incidence sur la détermination de l’immeuble de référence</w:t>
      </w:r>
      <w:r w:rsidR="00016C9C">
        <w:t> :</w:t>
      </w:r>
    </w:p>
    <w:p w14:paraId="4B40BCFD" w14:textId="77777777" w:rsidR="00016C9C" w:rsidRDefault="00016C9C" w:rsidP="00D5787B">
      <w:pPr>
        <w:spacing w:after="0" w:line="240" w:lineRule="auto"/>
        <w:jc w:val="both"/>
      </w:pPr>
    </w:p>
    <w:p w14:paraId="6763F566" w14:textId="5DC00BAA" w:rsidR="00D43B72" w:rsidRPr="00D43B72" w:rsidRDefault="0001645B" w:rsidP="00D5787B">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Pluralité d’</w:t>
      </w:r>
      <w:r w:rsidR="00D43B72" w:rsidRPr="00D43B72">
        <w:rPr>
          <w:rFonts w:asciiTheme="minorHAnsi" w:hAnsiTheme="minorHAnsi" w:cstheme="minorHAnsi"/>
          <w:sz w:val="22"/>
          <w:szCs w:val="22"/>
          <w:lang w:val="fr-FR"/>
        </w:rPr>
        <w:t>occupants ;</w:t>
      </w:r>
    </w:p>
    <w:p w14:paraId="00CA3163" w14:textId="5FF1CD0D" w:rsidR="00D43B72" w:rsidRPr="00D43B72" w:rsidRDefault="0001645B" w:rsidP="00D5787B">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Modification de l</w:t>
      </w:r>
      <w:r w:rsidR="00D43B72" w:rsidRPr="00D43B72">
        <w:rPr>
          <w:rFonts w:asciiTheme="minorHAnsi" w:hAnsiTheme="minorHAnsi" w:cstheme="minorHAnsi"/>
          <w:sz w:val="22"/>
          <w:szCs w:val="22"/>
          <w:lang w:val="fr-FR"/>
        </w:rPr>
        <w:t>'affectation de certaines parties de l'immeuble ;</w:t>
      </w:r>
    </w:p>
    <w:p w14:paraId="67D54295" w14:textId="3D0F2839" w:rsidR="00D43B72" w:rsidRPr="00D43B72" w:rsidRDefault="0001645B" w:rsidP="00D5787B">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Affectation de l</w:t>
      </w:r>
      <w:r w:rsidR="00D43B72" w:rsidRPr="00D43B72">
        <w:rPr>
          <w:rFonts w:asciiTheme="minorHAnsi" w:hAnsiTheme="minorHAnsi" w:cstheme="minorHAnsi"/>
          <w:sz w:val="22"/>
          <w:szCs w:val="22"/>
          <w:lang w:val="fr-FR"/>
        </w:rPr>
        <w:t>'immeuble à plusieurs usages ;</w:t>
      </w:r>
    </w:p>
    <w:p w14:paraId="69924708" w14:textId="4BCC5082" w:rsidR="00D43B72" w:rsidRDefault="0001645B" w:rsidP="00D5787B">
      <w:pPr>
        <w:pStyle w:val="ListParagraph"/>
        <w:numPr>
          <w:ilvl w:val="0"/>
          <w:numId w:val="14"/>
        </w:numPr>
        <w:rPr>
          <w:rFonts w:asciiTheme="minorHAnsi" w:hAnsiTheme="minorHAnsi" w:cstheme="minorHAnsi"/>
          <w:sz w:val="22"/>
          <w:szCs w:val="22"/>
          <w:lang w:val="fr-FR"/>
        </w:rPr>
      </w:pPr>
      <w:r>
        <w:rPr>
          <w:rFonts w:asciiTheme="minorHAnsi" w:hAnsiTheme="minorHAnsi" w:cstheme="minorHAnsi"/>
          <w:sz w:val="22"/>
          <w:szCs w:val="22"/>
          <w:lang w:val="fr-FR"/>
        </w:rPr>
        <w:t xml:space="preserve">Division physique ou juridique de l’immeuble qui constituait </w:t>
      </w:r>
      <w:r w:rsidR="00D43B72" w:rsidRPr="00D43B72">
        <w:rPr>
          <w:rFonts w:asciiTheme="minorHAnsi" w:hAnsiTheme="minorHAnsi" w:cstheme="minorHAnsi"/>
          <w:sz w:val="22"/>
          <w:szCs w:val="22"/>
          <w:lang w:val="fr-FR"/>
        </w:rPr>
        <w:t>jusqu'alors une entité unique</w:t>
      </w:r>
      <w:r w:rsidR="00D43B72">
        <w:rPr>
          <w:rFonts w:asciiTheme="minorHAnsi" w:hAnsiTheme="minorHAnsi" w:cstheme="minorHAnsi"/>
          <w:sz w:val="22"/>
          <w:szCs w:val="22"/>
          <w:lang w:val="fr-FR"/>
        </w:rPr>
        <w:t>.</w:t>
      </w:r>
    </w:p>
    <w:p w14:paraId="75513E5A" w14:textId="067F013C" w:rsidR="00DD2086" w:rsidRDefault="00DD2086" w:rsidP="00D5787B">
      <w:pPr>
        <w:spacing w:after="0" w:line="240" w:lineRule="auto"/>
        <w:rPr>
          <w:rFonts w:cstheme="minorHAnsi"/>
        </w:rPr>
      </w:pPr>
    </w:p>
    <w:p w14:paraId="515F16BD" w14:textId="0065A6FD" w:rsidR="00DD2086" w:rsidRDefault="00DD2086" w:rsidP="0008319B">
      <w:pPr>
        <w:spacing w:after="0" w:line="240" w:lineRule="auto"/>
        <w:jc w:val="both"/>
        <w:rPr>
          <w:rFonts w:cstheme="minorHAnsi"/>
          <w:color w:val="FF0000"/>
        </w:rPr>
      </w:pPr>
      <w:r w:rsidRPr="00DD2086">
        <w:rPr>
          <w:rFonts w:cstheme="minorHAnsi"/>
          <w:color w:val="FF0000"/>
          <w:u w:val="single"/>
        </w:rPr>
        <w:t>Attention</w:t>
      </w:r>
      <w:r w:rsidRPr="00DD2086">
        <w:rPr>
          <w:rFonts w:cstheme="minorHAnsi"/>
          <w:color w:val="FF0000"/>
        </w:rPr>
        <w:t xml:space="preserve"> : </w:t>
      </w:r>
      <w:r>
        <w:rPr>
          <w:rFonts w:cstheme="minorHAnsi"/>
          <w:color w:val="FF0000"/>
        </w:rPr>
        <w:t xml:space="preserve">si les biens immobiliers sont situés dans plusieurs bâtiments qui ne communiquent pas entre eux horizontalement ou verticalement, l’ampleur des travaux doit être appréciée bâtiment par bâtiment et une attestation </w:t>
      </w:r>
      <w:r w:rsidR="00424B17">
        <w:rPr>
          <w:rFonts w:cstheme="minorHAnsi"/>
          <w:color w:val="FF0000"/>
        </w:rPr>
        <w:t xml:space="preserve">doit être émise, le cas échéant, </w:t>
      </w:r>
      <w:r>
        <w:rPr>
          <w:rFonts w:cstheme="minorHAnsi"/>
          <w:color w:val="FF0000"/>
        </w:rPr>
        <w:t>pour chaque bâtiment considéré isolément.</w:t>
      </w:r>
    </w:p>
    <w:p w14:paraId="5EB05605" w14:textId="2DE0EECF" w:rsidR="00AE3282" w:rsidRDefault="00AE3282" w:rsidP="00D5787B">
      <w:pPr>
        <w:spacing w:after="0" w:line="240" w:lineRule="auto"/>
        <w:rPr>
          <w:rFonts w:cstheme="minorHAnsi"/>
          <w:color w:val="FF0000"/>
        </w:rPr>
      </w:pPr>
    </w:p>
    <w:p w14:paraId="1E26EB0D" w14:textId="63F1E1F4" w:rsidR="00280E1A" w:rsidRDefault="00280E1A" w:rsidP="00D5787B">
      <w:pPr>
        <w:pStyle w:val="Heading2"/>
        <w:numPr>
          <w:ilvl w:val="1"/>
          <w:numId w:val="13"/>
        </w:numPr>
        <w:spacing w:before="0" w:line="240" w:lineRule="auto"/>
        <w:jc w:val="both"/>
      </w:pPr>
      <w:r>
        <w:t>Précisions sur les élément</w:t>
      </w:r>
      <w:r w:rsidR="00BF2070">
        <w:t>s</w:t>
      </w:r>
      <w:r>
        <w:t xml:space="preserve"> de gros œuvres </w:t>
      </w:r>
    </w:p>
    <w:p w14:paraId="6CA49709" w14:textId="77777777" w:rsidR="00280E1A" w:rsidRPr="00280E1A" w:rsidRDefault="00280E1A" w:rsidP="00280E1A">
      <w:pPr>
        <w:spacing w:after="0"/>
      </w:pPr>
    </w:p>
    <w:p w14:paraId="7D91D323" w14:textId="1D13DD8B" w:rsidR="005D0FFB" w:rsidRDefault="005D0FFB" w:rsidP="00280E1A">
      <w:pPr>
        <w:pStyle w:val="Heading2"/>
        <w:numPr>
          <w:ilvl w:val="2"/>
          <w:numId w:val="13"/>
        </w:numPr>
        <w:spacing w:before="0" w:line="240" w:lineRule="auto"/>
        <w:jc w:val="both"/>
      </w:pPr>
      <w:r>
        <w:t>Notion de fondations</w:t>
      </w:r>
    </w:p>
    <w:p w14:paraId="42DBA2A2" w14:textId="001BCC92" w:rsidR="005D0FFB" w:rsidRDefault="005D0FFB" w:rsidP="00D5787B">
      <w:pPr>
        <w:spacing w:after="0" w:line="240" w:lineRule="auto"/>
        <w:jc w:val="both"/>
      </w:pPr>
    </w:p>
    <w:p w14:paraId="6849B32B" w14:textId="77777777" w:rsidR="005D0FFB" w:rsidRPr="005D0FFB" w:rsidRDefault="005D0FFB" w:rsidP="00D5787B">
      <w:pPr>
        <w:spacing w:after="0" w:line="240" w:lineRule="auto"/>
        <w:jc w:val="both"/>
      </w:pPr>
      <w:r w:rsidRPr="005D0FFB">
        <w:t>Il s'agit des éléments qui composent le socle et l'assise stable d'une construction en répartissant sa charge sur le sol (fondations superficielles ou profondes telles que semelles, longrines, radiers, puits, pieux).</w:t>
      </w:r>
    </w:p>
    <w:p w14:paraId="6E6B6125" w14:textId="6C60F23B" w:rsidR="005D0FFB" w:rsidRDefault="005D0FFB" w:rsidP="00D5787B">
      <w:pPr>
        <w:spacing w:after="0" w:line="240" w:lineRule="auto"/>
        <w:jc w:val="both"/>
      </w:pPr>
    </w:p>
    <w:p w14:paraId="5E39AA2F" w14:textId="1A94F895" w:rsidR="00753269" w:rsidRDefault="00753269" w:rsidP="00D5787B">
      <w:pPr>
        <w:spacing w:after="0" w:line="240" w:lineRule="auto"/>
        <w:jc w:val="both"/>
      </w:pPr>
      <w:r w:rsidRPr="00753269">
        <w:rPr>
          <w:i/>
          <w:u w:val="single"/>
        </w:rPr>
        <w:t>Travaux à prendre en compte</w:t>
      </w:r>
      <w:r>
        <w:t> :</w:t>
      </w:r>
    </w:p>
    <w:p w14:paraId="48AE34D1" w14:textId="77777777" w:rsidR="00753269" w:rsidRPr="005D0FFB" w:rsidRDefault="00753269" w:rsidP="00D5787B">
      <w:pPr>
        <w:spacing w:after="0" w:line="240" w:lineRule="auto"/>
        <w:jc w:val="both"/>
      </w:pPr>
    </w:p>
    <w:p w14:paraId="05EC7C3F" w14:textId="679CCCE1" w:rsidR="005D0FFB" w:rsidRPr="005D0FFB" w:rsidRDefault="005D0FFB" w:rsidP="00D5787B">
      <w:pPr>
        <w:spacing w:after="0" w:line="240" w:lineRule="auto"/>
        <w:jc w:val="both"/>
      </w:pPr>
      <w:r w:rsidRPr="005D0FFB">
        <w:t>Sont concernés les travaux consistant à réparer, remplacer, renforcer et consolider les éléments de fondations existants.</w:t>
      </w:r>
      <w:r>
        <w:t xml:space="preserve"> </w:t>
      </w:r>
      <w:r w:rsidRPr="005D0FFB">
        <w:t>Tel est notamment le cas des travaux de reprise et stabilisation par pose de micropieux ou de renforcement des fondations par injection à haute pression d'un coulis de ciment.</w:t>
      </w:r>
    </w:p>
    <w:p w14:paraId="7D3CB4B8" w14:textId="5A03B43D" w:rsidR="00D5787B" w:rsidRDefault="00D5787B">
      <w:pPr>
        <w:rPr>
          <w:rFonts w:asciiTheme="majorHAnsi" w:eastAsiaTheme="majorEastAsia" w:hAnsiTheme="majorHAnsi" w:cstheme="majorBidi"/>
          <w:color w:val="365F91" w:themeColor="accent1" w:themeShade="BF"/>
          <w:sz w:val="26"/>
          <w:szCs w:val="26"/>
        </w:rPr>
      </w:pPr>
    </w:p>
    <w:p w14:paraId="7EB4FB5B" w14:textId="4F334722" w:rsidR="005D0FFB" w:rsidRDefault="005D0FFB" w:rsidP="00280E1A">
      <w:pPr>
        <w:pStyle w:val="Heading2"/>
        <w:numPr>
          <w:ilvl w:val="2"/>
          <w:numId w:val="13"/>
        </w:numPr>
        <w:spacing w:before="0" w:line="240" w:lineRule="auto"/>
        <w:jc w:val="both"/>
      </w:pPr>
      <w:r>
        <w:t xml:space="preserve">Notion d’éléments </w:t>
      </w:r>
      <w:r w:rsidRPr="005D0FFB">
        <w:t>hors fondations déterminant la résistance et la rigidité de l’ouvrage</w:t>
      </w:r>
    </w:p>
    <w:p w14:paraId="3AD7D88D" w14:textId="059B7012" w:rsidR="005D0FFB" w:rsidRDefault="005D0FFB" w:rsidP="00D5787B">
      <w:pPr>
        <w:spacing w:after="0" w:line="240" w:lineRule="auto"/>
      </w:pPr>
    </w:p>
    <w:p w14:paraId="59816892" w14:textId="77777777" w:rsidR="005D0FFB" w:rsidRPr="005D0FFB" w:rsidRDefault="005D0FFB" w:rsidP="00D5787B">
      <w:pPr>
        <w:spacing w:after="0" w:line="240" w:lineRule="auto"/>
        <w:jc w:val="both"/>
      </w:pPr>
      <w:r w:rsidRPr="005D0FFB">
        <w:t>Il s'agit des éléments sans lesquels ces caractéristiques de solidité ne sont plus assurées, tels que les experts et tribunaux peuvent les apprécier en cas d'accident :</w:t>
      </w:r>
    </w:p>
    <w:p w14:paraId="05ED63D6" w14:textId="77777777" w:rsidR="00753269" w:rsidRDefault="00753269" w:rsidP="00D5787B">
      <w:pPr>
        <w:spacing w:after="0" w:line="240" w:lineRule="auto"/>
        <w:jc w:val="both"/>
      </w:pPr>
    </w:p>
    <w:p w14:paraId="54957C95" w14:textId="1DD5C257" w:rsidR="005D0FFB" w:rsidRPr="00753269" w:rsidRDefault="00753269" w:rsidP="00D5787B">
      <w:pPr>
        <w:pStyle w:val="ListParagraph"/>
        <w:numPr>
          <w:ilvl w:val="0"/>
          <w:numId w:val="14"/>
        </w:numPr>
        <w:rPr>
          <w:rFonts w:asciiTheme="minorHAnsi" w:hAnsiTheme="minorHAnsi" w:cstheme="minorHAnsi"/>
          <w:sz w:val="22"/>
          <w:szCs w:val="22"/>
          <w:lang w:val="fr-FR"/>
        </w:rPr>
      </w:pPr>
      <w:r w:rsidRPr="00753269">
        <w:rPr>
          <w:rFonts w:asciiTheme="minorHAnsi" w:hAnsiTheme="minorHAnsi" w:cstheme="minorHAnsi"/>
          <w:sz w:val="22"/>
          <w:szCs w:val="22"/>
          <w:lang w:val="fr-FR"/>
        </w:rPr>
        <w:t>E</w:t>
      </w:r>
      <w:r w:rsidR="005D0FFB" w:rsidRPr="00753269">
        <w:rPr>
          <w:rFonts w:asciiTheme="minorHAnsi" w:hAnsiTheme="minorHAnsi" w:cstheme="minorHAnsi"/>
          <w:sz w:val="22"/>
          <w:szCs w:val="22"/>
          <w:lang w:val="fr-FR"/>
        </w:rPr>
        <w:t>léments verticaux : murs porteurs intérieurs (murs de refends) ou extérieurs (murs-pignons), piliers, colonnes et poteaux quand ils sont porteurs ;</w:t>
      </w:r>
    </w:p>
    <w:p w14:paraId="2C8D4817" w14:textId="77777777" w:rsidR="00753269" w:rsidRPr="00753269" w:rsidRDefault="00753269" w:rsidP="00D5787B">
      <w:pPr>
        <w:pStyle w:val="ListParagraph"/>
        <w:rPr>
          <w:rFonts w:asciiTheme="minorHAnsi" w:hAnsiTheme="minorHAnsi" w:cstheme="minorHAnsi"/>
          <w:sz w:val="22"/>
          <w:szCs w:val="22"/>
          <w:lang w:val="fr-FR"/>
        </w:rPr>
      </w:pPr>
    </w:p>
    <w:p w14:paraId="05D94E47" w14:textId="431374F2" w:rsidR="005D0FFB" w:rsidRPr="00E944CC" w:rsidRDefault="00753269" w:rsidP="00D5787B">
      <w:pPr>
        <w:pStyle w:val="ListParagraph"/>
        <w:numPr>
          <w:ilvl w:val="0"/>
          <w:numId w:val="14"/>
        </w:numPr>
        <w:rPr>
          <w:rFonts w:asciiTheme="minorHAnsi" w:hAnsiTheme="minorHAnsi" w:cstheme="minorHAnsi"/>
          <w:sz w:val="22"/>
          <w:szCs w:val="22"/>
          <w:lang w:val="fr-FR"/>
        </w:rPr>
      </w:pPr>
      <w:r w:rsidRPr="00753269">
        <w:rPr>
          <w:rFonts w:asciiTheme="minorHAnsi" w:hAnsiTheme="minorHAnsi" w:cstheme="minorHAnsi"/>
          <w:sz w:val="22"/>
          <w:szCs w:val="22"/>
          <w:lang w:val="fr-FR"/>
        </w:rPr>
        <w:t>E</w:t>
      </w:r>
      <w:r w:rsidR="005D0FFB" w:rsidRPr="00753269">
        <w:rPr>
          <w:rFonts w:asciiTheme="minorHAnsi" w:hAnsiTheme="minorHAnsi" w:cstheme="minorHAnsi"/>
          <w:sz w:val="22"/>
          <w:szCs w:val="22"/>
          <w:lang w:val="fr-FR"/>
        </w:rPr>
        <w:t>léments horizontaux : planchers en béton (dalles), planchers en bois (poutres et solives), toits-terrasses (à pente nulle ou faible) quand</w:t>
      </w:r>
      <w:r w:rsidRPr="00753269">
        <w:rPr>
          <w:rFonts w:asciiTheme="minorHAnsi" w:hAnsiTheme="minorHAnsi" w:cstheme="minorHAnsi"/>
          <w:sz w:val="22"/>
          <w:szCs w:val="22"/>
          <w:lang w:val="fr-FR"/>
        </w:rPr>
        <w:t xml:space="preserve"> </w:t>
      </w:r>
      <w:r w:rsidR="005D0FFB" w:rsidRPr="00753269">
        <w:rPr>
          <w:rFonts w:asciiTheme="minorHAnsi" w:hAnsiTheme="minorHAnsi" w:cstheme="minorHAnsi"/>
          <w:sz w:val="22"/>
          <w:szCs w:val="22"/>
          <w:lang w:val="fr-FR"/>
        </w:rPr>
        <w:t xml:space="preserve">ils contribuent à la stabilité de l'ensemble. </w:t>
      </w:r>
      <w:r w:rsidR="005D0FFB" w:rsidRPr="00E944CC">
        <w:rPr>
          <w:rFonts w:asciiTheme="minorHAnsi" w:hAnsiTheme="minorHAnsi" w:cstheme="minorHAnsi"/>
          <w:sz w:val="22"/>
          <w:szCs w:val="22"/>
          <w:lang w:val="fr-FR"/>
        </w:rPr>
        <w:t>Le plancher s'entend de l'ouvrage qui constitue une plate-forme horizontale entre deux niveaux ;</w:t>
      </w:r>
    </w:p>
    <w:p w14:paraId="56F1D50A" w14:textId="77777777" w:rsidR="00753269" w:rsidRPr="00E944CC" w:rsidRDefault="00753269" w:rsidP="00D5787B">
      <w:pPr>
        <w:pStyle w:val="ListParagraph"/>
        <w:rPr>
          <w:rFonts w:asciiTheme="minorHAnsi" w:hAnsiTheme="minorHAnsi" w:cstheme="minorHAnsi"/>
          <w:sz w:val="22"/>
          <w:szCs w:val="22"/>
          <w:lang w:val="fr-FR"/>
        </w:rPr>
      </w:pPr>
    </w:p>
    <w:p w14:paraId="7C9CADB7" w14:textId="466B5BD7" w:rsidR="005D0FFB" w:rsidRPr="00753269" w:rsidRDefault="00753269" w:rsidP="00D5787B">
      <w:pPr>
        <w:pStyle w:val="ListParagraph"/>
        <w:numPr>
          <w:ilvl w:val="0"/>
          <w:numId w:val="14"/>
        </w:numPr>
        <w:rPr>
          <w:rFonts w:asciiTheme="minorHAnsi" w:hAnsiTheme="minorHAnsi" w:cstheme="minorHAnsi"/>
          <w:sz w:val="22"/>
          <w:szCs w:val="22"/>
          <w:lang w:val="fr-FR"/>
        </w:rPr>
      </w:pPr>
      <w:r w:rsidRPr="00753269">
        <w:rPr>
          <w:rFonts w:asciiTheme="minorHAnsi" w:hAnsiTheme="minorHAnsi" w:cstheme="minorHAnsi"/>
          <w:sz w:val="22"/>
          <w:szCs w:val="22"/>
          <w:lang w:val="fr-FR"/>
        </w:rPr>
        <w:t>E</w:t>
      </w:r>
      <w:r w:rsidR="005D0FFB" w:rsidRPr="00753269">
        <w:rPr>
          <w:rFonts w:asciiTheme="minorHAnsi" w:hAnsiTheme="minorHAnsi" w:cstheme="minorHAnsi"/>
          <w:sz w:val="22"/>
          <w:szCs w:val="22"/>
          <w:lang w:val="fr-FR"/>
        </w:rPr>
        <w:t>léments obliques assurant le contreventement : contreforts éventuels ;</w:t>
      </w:r>
    </w:p>
    <w:p w14:paraId="1C649787" w14:textId="77777777" w:rsidR="00753269" w:rsidRPr="00753269" w:rsidRDefault="00753269" w:rsidP="00D5787B">
      <w:pPr>
        <w:pStyle w:val="ListParagraph"/>
        <w:rPr>
          <w:rFonts w:asciiTheme="minorHAnsi" w:hAnsiTheme="minorHAnsi" w:cstheme="minorHAnsi"/>
          <w:sz w:val="22"/>
          <w:szCs w:val="22"/>
          <w:lang w:val="fr-FR"/>
        </w:rPr>
      </w:pPr>
    </w:p>
    <w:p w14:paraId="21C140F7" w14:textId="596B4D13" w:rsidR="005D0FFB" w:rsidRPr="00753269" w:rsidRDefault="00753269" w:rsidP="00D5787B">
      <w:pPr>
        <w:pStyle w:val="ListParagraph"/>
        <w:numPr>
          <w:ilvl w:val="0"/>
          <w:numId w:val="14"/>
        </w:numPr>
        <w:rPr>
          <w:rFonts w:asciiTheme="minorHAnsi" w:hAnsiTheme="minorHAnsi" w:cstheme="minorHAnsi"/>
          <w:sz w:val="22"/>
          <w:szCs w:val="22"/>
          <w:lang w:val="fr-FR"/>
        </w:rPr>
      </w:pPr>
      <w:r w:rsidRPr="00753269">
        <w:rPr>
          <w:rFonts w:asciiTheme="minorHAnsi" w:hAnsiTheme="minorHAnsi" w:cstheme="minorHAnsi"/>
          <w:sz w:val="22"/>
          <w:szCs w:val="22"/>
          <w:lang w:val="fr-FR"/>
        </w:rPr>
        <w:t>E</w:t>
      </w:r>
      <w:r w:rsidR="005D0FFB" w:rsidRPr="00753269">
        <w:rPr>
          <w:rFonts w:asciiTheme="minorHAnsi" w:hAnsiTheme="minorHAnsi" w:cstheme="minorHAnsi"/>
          <w:sz w:val="22"/>
          <w:szCs w:val="22"/>
          <w:lang w:val="fr-FR"/>
        </w:rPr>
        <w:t xml:space="preserve">léments de charpente quand ils contribuent à la stabilité de l'ensemble. </w:t>
      </w:r>
    </w:p>
    <w:p w14:paraId="0DE60466" w14:textId="7D531539" w:rsidR="005D0FFB" w:rsidRPr="005D0FFB" w:rsidRDefault="005D0FFB" w:rsidP="00D5787B">
      <w:pPr>
        <w:spacing w:after="0" w:line="240" w:lineRule="auto"/>
        <w:jc w:val="both"/>
      </w:pPr>
    </w:p>
    <w:p w14:paraId="7FE8921B" w14:textId="77777777" w:rsidR="00753269" w:rsidRDefault="00753269" w:rsidP="00D5787B">
      <w:pPr>
        <w:spacing w:after="0" w:line="240" w:lineRule="auto"/>
        <w:jc w:val="both"/>
      </w:pPr>
      <w:r w:rsidRPr="00753269">
        <w:rPr>
          <w:i/>
          <w:u w:val="single"/>
        </w:rPr>
        <w:t>Travaux à prendre en compte</w:t>
      </w:r>
      <w:r>
        <w:t> :</w:t>
      </w:r>
    </w:p>
    <w:p w14:paraId="0970AB90" w14:textId="77777777" w:rsidR="00753269" w:rsidRDefault="00753269" w:rsidP="00D5787B">
      <w:pPr>
        <w:spacing w:after="0" w:line="240" w:lineRule="auto"/>
        <w:jc w:val="both"/>
      </w:pPr>
    </w:p>
    <w:p w14:paraId="4C43672A" w14:textId="7389698E" w:rsidR="005D0FFB" w:rsidRDefault="005D0FFB" w:rsidP="00D5787B">
      <w:pPr>
        <w:spacing w:after="0" w:line="240" w:lineRule="auto"/>
        <w:jc w:val="both"/>
      </w:pPr>
      <w:r w:rsidRPr="005D0FFB">
        <w:t>Les travaux de toute nature (percement d'une ouverture nouvelle ou suppression d'une ouverture ancienne qui affectent des murs porteurs, démolition de surfaces de planchers porteurs en vue de la création de circulations verticales, etc</w:t>
      </w:r>
      <w:r w:rsidR="00516541">
        <w:t>.</w:t>
      </w:r>
      <w:r w:rsidRPr="005D0FFB">
        <w:t>) qui affectent un élément déterminant la résistance ou la rigidité de l'ouvrage sont à prendre en considération pour l'appréciation de ce critère.</w:t>
      </w:r>
    </w:p>
    <w:p w14:paraId="1FD39888" w14:textId="4272606B" w:rsidR="00753269" w:rsidRDefault="00753269" w:rsidP="00D5787B">
      <w:pPr>
        <w:spacing w:after="0" w:line="240" w:lineRule="auto"/>
        <w:jc w:val="both"/>
      </w:pPr>
    </w:p>
    <w:p w14:paraId="38E9D00C" w14:textId="2AA34998" w:rsidR="00753269" w:rsidRDefault="00753269" w:rsidP="00D5787B">
      <w:pPr>
        <w:spacing w:after="0" w:line="240" w:lineRule="auto"/>
        <w:jc w:val="both"/>
      </w:pPr>
      <w:r w:rsidRPr="00753269">
        <w:rPr>
          <w:i/>
          <w:u w:val="single"/>
        </w:rPr>
        <w:t>Travaux à ne pas prendre en compte</w:t>
      </w:r>
      <w:r>
        <w:t> :</w:t>
      </w:r>
    </w:p>
    <w:p w14:paraId="554B1D84" w14:textId="77777777" w:rsidR="00516541" w:rsidRPr="005D0FFB" w:rsidRDefault="00516541" w:rsidP="00D5787B">
      <w:pPr>
        <w:spacing w:after="0" w:line="240" w:lineRule="auto"/>
        <w:jc w:val="both"/>
      </w:pPr>
    </w:p>
    <w:p w14:paraId="50D9933E" w14:textId="77777777" w:rsidR="005D0FFB" w:rsidRPr="005D0FFB" w:rsidRDefault="005D0FFB" w:rsidP="00D5787B">
      <w:pPr>
        <w:spacing w:after="0" w:line="240" w:lineRule="auto"/>
        <w:jc w:val="both"/>
      </w:pPr>
      <w:r w:rsidRPr="005D0FFB">
        <w:t>Les travaux qui ont pour objet le simple revêtement de planchers porteurs, précédés le cas échéant d'un simple ragréage exclusivement destiné à garantir la planéité du revêtement ainsi que l'isolation thermique et/ou phonique (exemple : moquettes, carrelages, parquets, linoléum, mosaïques, marbrerie, etc.), ou les travaux de simple réfection des éléments de couverture n'ont pas la nature de travaux qui affectent un élément déterminant la résistance ou la rigidité de l'ouvrage.</w:t>
      </w:r>
    </w:p>
    <w:p w14:paraId="372703A9" w14:textId="6EC428CF" w:rsidR="005D0FFB" w:rsidRDefault="005D0FFB" w:rsidP="00D5787B">
      <w:pPr>
        <w:spacing w:after="0" w:line="240" w:lineRule="auto"/>
      </w:pPr>
    </w:p>
    <w:p w14:paraId="792A4789" w14:textId="35312924" w:rsidR="005D0FFB" w:rsidRPr="005D0FFB" w:rsidRDefault="005D0FFB" w:rsidP="00280E1A">
      <w:pPr>
        <w:pStyle w:val="Heading2"/>
        <w:numPr>
          <w:ilvl w:val="2"/>
          <w:numId w:val="13"/>
        </w:numPr>
        <w:spacing w:before="0" w:line="240" w:lineRule="auto"/>
        <w:jc w:val="both"/>
      </w:pPr>
      <w:r w:rsidRPr="005D0FFB">
        <w:t>Notion de consistance des façades hors ravalement</w:t>
      </w:r>
    </w:p>
    <w:p w14:paraId="0D740DD0" w14:textId="3842933E" w:rsidR="005D0FFB" w:rsidRDefault="005D0FFB" w:rsidP="00D5787B">
      <w:pPr>
        <w:spacing w:after="0" w:line="240" w:lineRule="auto"/>
      </w:pPr>
    </w:p>
    <w:p w14:paraId="1862F7D4" w14:textId="743201E1" w:rsidR="00753269" w:rsidRDefault="00753269" w:rsidP="00D5787B">
      <w:pPr>
        <w:spacing w:after="0" w:line="240" w:lineRule="auto"/>
        <w:jc w:val="both"/>
      </w:pPr>
      <w:r>
        <w:t>I</w:t>
      </w:r>
      <w:r w:rsidRPr="00753269">
        <w:t>l s'agit des éléments verticaux externes participant à la mise hors d'eau de l'immeuble (murs, murs-rideaux, murs-panneaux, etc.) qui n'assurent qu'un rôle d'habillage de l'immeuble sans déterminer la résistance ou la rigidité de l'ouvrage (panneaux de parement en bois, métal ou autre).</w:t>
      </w:r>
    </w:p>
    <w:p w14:paraId="3D7F010C" w14:textId="4C580598" w:rsidR="00753269" w:rsidRDefault="00753269" w:rsidP="00D5787B">
      <w:pPr>
        <w:spacing w:after="0" w:line="240" w:lineRule="auto"/>
        <w:jc w:val="both"/>
      </w:pPr>
    </w:p>
    <w:p w14:paraId="67DB890F" w14:textId="63FC1D07" w:rsidR="00753269" w:rsidRDefault="00753269" w:rsidP="00D5787B">
      <w:pPr>
        <w:spacing w:after="0" w:line="240" w:lineRule="auto"/>
        <w:jc w:val="both"/>
      </w:pPr>
      <w:r w:rsidRPr="00753269">
        <w:rPr>
          <w:i/>
          <w:u w:val="single"/>
        </w:rPr>
        <w:t>Travaux à prendre en compte</w:t>
      </w:r>
      <w:r>
        <w:t> :</w:t>
      </w:r>
    </w:p>
    <w:p w14:paraId="59F293DF" w14:textId="77777777" w:rsidR="00753269" w:rsidRPr="00753269" w:rsidRDefault="00753269" w:rsidP="00D5787B">
      <w:pPr>
        <w:spacing w:after="0" w:line="240" w:lineRule="auto"/>
        <w:jc w:val="both"/>
      </w:pPr>
    </w:p>
    <w:p w14:paraId="2AE08B43" w14:textId="77777777" w:rsidR="00753269" w:rsidRDefault="00753269" w:rsidP="00D5787B">
      <w:pPr>
        <w:spacing w:after="0" w:line="240" w:lineRule="auto"/>
        <w:jc w:val="both"/>
      </w:pPr>
      <w:r w:rsidRPr="00753269">
        <w:t>Ne sont visés que les travaux qui affectent la consistance de la façade (pose et dépose de façades)</w:t>
      </w:r>
      <w:r>
        <w:t>.</w:t>
      </w:r>
    </w:p>
    <w:p w14:paraId="7DBE522A" w14:textId="77777777" w:rsidR="00753269" w:rsidRDefault="00753269" w:rsidP="00D5787B">
      <w:pPr>
        <w:spacing w:after="0" w:line="240" w:lineRule="auto"/>
        <w:jc w:val="both"/>
      </w:pPr>
    </w:p>
    <w:p w14:paraId="5F057255" w14:textId="5FFE8B02" w:rsidR="00753269" w:rsidRDefault="00753269" w:rsidP="00D5787B">
      <w:pPr>
        <w:spacing w:after="0" w:line="240" w:lineRule="auto"/>
        <w:jc w:val="both"/>
      </w:pPr>
      <w:r w:rsidRPr="00753269">
        <w:rPr>
          <w:i/>
          <w:u w:val="single"/>
        </w:rPr>
        <w:t>Travaux à ne pas prendre en compte</w:t>
      </w:r>
      <w:r>
        <w:t> :</w:t>
      </w:r>
    </w:p>
    <w:p w14:paraId="72FC6CE7" w14:textId="77777777" w:rsidR="00753269" w:rsidRDefault="00753269" w:rsidP="00D5787B">
      <w:pPr>
        <w:spacing w:after="0" w:line="240" w:lineRule="auto"/>
        <w:jc w:val="both"/>
      </w:pPr>
    </w:p>
    <w:p w14:paraId="27CA2CDD" w14:textId="18E38B3A" w:rsidR="00753269" w:rsidRPr="00753269" w:rsidRDefault="00753269" w:rsidP="00D5787B">
      <w:pPr>
        <w:spacing w:after="0" w:line="240" w:lineRule="auto"/>
        <w:jc w:val="both"/>
      </w:pPr>
      <w:r>
        <w:t xml:space="preserve">Ne sont pas visés les </w:t>
      </w:r>
      <w:r w:rsidRPr="00753269">
        <w:t>travaux de nettoyage ou de ravalement de la façade quel que soit le procédé, des travaux d'étanchéité, ou d'imperméabilisation (pose d'enduit/crépi ou peinture).</w:t>
      </w:r>
    </w:p>
    <w:p w14:paraId="6D179194" w14:textId="40C4C75B" w:rsidR="005D0FFB" w:rsidRDefault="005D0FFB" w:rsidP="00D5787B">
      <w:pPr>
        <w:spacing w:after="0" w:line="240" w:lineRule="auto"/>
      </w:pPr>
    </w:p>
    <w:p w14:paraId="4D3D9809" w14:textId="77777777" w:rsidR="00280E1A" w:rsidRDefault="00280E1A">
      <w:pPr>
        <w:rPr>
          <w:rFonts w:asciiTheme="majorHAnsi" w:eastAsiaTheme="majorEastAsia" w:hAnsiTheme="majorHAnsi" w:cstheme="majorBidi"/>
          <w:color w:val="365F91" w:themeColor="accent1" w:themeShade="BF"/>
          <w:sz w:val="26"/>
          <w:szCs w:val="26"/>
        </w:rPr>
      </w:pPr>
      <w:r>
        <w:br w:type="page"/>
      </w:r>
    </w:p>
    <w:p w14:paraId="7D9E454C" w14:textId="621EA8C6" w:rsidR="00280E1A" w:rsidRDefault="00280E1A" w:rsidP="00D5787B">
      <w:pPr>
        <w:pStyle w:val="Heading2"/>
        <w:numPr>
          <w:ilvl w:val="1"/>
          <w:numId w:val="13"/>
        </w:numPr>
        <w:spacing w:before="0" w:line="240" w:lineRule="auto"/>
        <w:jc w:val="both"/>
      </w:pPr>
      <w:r>
        <w:lastRenderedPageBreak/>
        <w:t xml:space="preserve">Précisions sur les éléments de second œuvre </w:t>
      </w:r>
    </w:p>
    <w:p w14:paraId="069045A8" w14:textId="22A32878" w:rsidR="00280E1A" w:rsidRDefault="00280E1A" w:rsidP="00280E1A">
      <w:pPr>
        <w:pStyle w:val="Heading2"/>
        <w:spacing w:before="0" w:line="240" w:lineRule="auto"/>
        <w:ind w:left="792"/>
        <w:jc w:val="both"/>
      </w:pPr>
    </w:p>
    <w:p w14:paraId="38EA98A2" w14:textId="3BD57257" w:rsidR="00D43B72" w:rsidRDefault="00023D98" w:rsidP="00280E1A">
      <w:pPr>
        <w:pStyle w:val="Heading2"/>
        <w:numPr>
          <w:ilvl w:val="2"/>
          <w:numId w:val="13"/>
        </w:numPr>
        <w:spacing w:before="0" w:line="240" w:lineRule="auto"/>
        <w:jc w:val="both"/>
      </w:pPr>
      <w:r>
        <w:t>Notion d’huisseries extérieures</w:t>
      </w:r>
    </w:p>
    <w:p w14:paraId="1A978625" w14:textId="7A98267D" w:rsidR="00023D98" w:rsidRDefault="00023D98" w:rsidP="00D5787B">
      <w:pPr>
        <w:spacing w:after="0" w:line="240" w:lineRule="auto"/>
        <w:jc w:val="both"/>
      </w:pPr>
    </w:p>
    <w:p w14:paraId="5AED28A0" w14:textId="4EFE5E85" w:rsidR="00023D98" w:rsidRDefault="00D5787B" w:rsidP="00280E1A">
      <w:pPr>
        <w:spacing w:after="0" w:line="240" w:lineRule="auto"/>
        <w:jc w:val="both"/>
        <w:rPr>
          <w:rFonts w:cstheme="minorHAnsi"/>
        </w:rPr>
      </w:pPr>
      <w:r>
        <w:rPr>
          <w:rFonts w:cstheme="minorHAnsi"/>
        </w:rPr>
        <w:t>E</w:t>
      </w:r>
      <w:r w:rsidR="00023D98" w:rsidRPr="00023D98">
        <w:rPr>
          <w:rFonts w:cstheme="minorHAnsi"/>
        </w:rPr>
        <w:t>léments (dormants et ouvrants) assurant la mise hors d'air du bâtiment tels que portes, fenêtres, portes-fenêtres, vitrages, baies vitrées, velux et verrières, portes de garage et le cas échéant les systèmes de fermetures équipant ces éléments.</w:t>
      </w:r>
    </w:p>
    <w:p w14:paraId="0F7CF893" w14:textId="77777777" w:rsidR="00280E1A" w:rsidRDefault="00280E1A" w:rsidP="00280E1A">
      <w:pPr>
        <w:spacing w:after="0" w:line="240" w:lineRule="auto"/>
        <w:jc w:val="both"/>
        <w:rPr>
          <w:rFonts w:cstheme="minorHAnsi"/>
        </w:rPr>
      </w:pPr>
    </w:p>
    <w:p w14:paraId="7F32AD1B" w14:textId="1CAA4C62" w:rsidR="00D5787B" w:rsidRPr="00D5787B" w:rsidRDefault="00D5787B" w:rsidP="00280E1A">
      <w:pPr>
        <w:pStyle w:val="Heading2"/>
        <w:numPr>
          <w:ilvl w:val="2"/>
          <w:numId w:val="13"/>
        </w:numPr>
        <w:spacing w:before="0" w:line="240" w:lineRule="auto"/>
        <w:jc w:val="both"/>
      </w:pPr>
      <w:r w:rsidRPr="00D5787B">
        <w:t xml:space="preserve">Notion de cloisons intérieures </w:t>
      </w:r>
    </w:p>
    <w:p w14:paraId="40594159" w14:textId="77777777" w:rsidR="00D5787B" w:rsidRDefault="00D5787B" w:rsidP="00D5787B">
      <w:pPr>
        <w:spacing w:after="0" w:line="240" w:lineRule="auto"/>
        <w:jc w:val="both"/>
        <w:rPr>
          <w:rFonts w:cstheme="minorHAnsi"/>
        </w:rPr>
      </w:pPr>
    </w:p>
    <w:p w14:paraId="573C74C4" w14:textId="6ED56EAE" w:rsidR="00023D98" w:rsidRDefault="00D5787B" w:rsidP="00D5787B">
      <w:pPr>
        <w:spacing w:after="0" w:line="240" w:lineRule="auto"/>
        <w:jc w:val="both"/>
        <w:rPr>
          <w:rFonts w:cstheme="minorHAnsi"/>
        </w:rPr>
      </w:pPr>
      <w:r>
        <w:rPr>
          <w:rFonts w:cstheme="minorHAnsi"/>
        </w:rPr>
        <w:t>C</w:t>
      </w:r>
      <w:r w:rsidR="00023D98" w:rsidRPr="00D5787B">
        <w:rPr>
          <w:rFonts w:cstheme="minorHAnsi"/>
        </w:rPr>
        <w:t>loisons distributives, fixes ou amovibles, sous forme d'éléments à maçonner ou de plaques à monter quelle qu'en soit la nature (briques, parpaings, plaques sur ossature, carreaux, panneaux, etc.) et la composition (béton, plâtre, bois, tôle, PVC, aggloméré, etc.).</w:t>
      </w:r>
    </w:p>
    <w:p w14:paraId="0E2C781E" w14:textId="5B08E0DA" w:rsidR="00D5787B" w:rsidRDefault="00D5787B" w:rsidP="00D5787B">
      <w:pPr>
        <w:spacing w:after="0" w:line="240" w:lineRule="auto"/>
        <w:jc w:val="both"/>
        <w:rPr>
          <w:rFonts w:cstheme="minorHAnsi"/>
        </w:rPr>
      </w:pPr>
    </w:p>
    <w:p w14:paraId="44A5F401" w14:textId="3D869817" w:rsidR="00023D98" w:rsidRPr="00D5787B" w:rsidRDefault="00D5787B" w:rsidP="00280E1A">
      <w:pPr>
        <w:pStyle w:val="Heading2"/>
        <w:numPr>
          <w:ilvl w:val="2"/>
          <w:numId w:val="13"/>
        </w:numPr>
        <w:spacing w:before="0" w:line="240" w:lineRule="auto"/>
        <w:jc w:val="both"/>
      </w:pPr>
      <w:r w:rsidRPr="00D5787B">
        <w:t>Notion d’installations sanitaires et de plomberie</w:t>
      </w:r>
    </w:p>
    <w:p w14:paraId="6F85835E" w14:textId="700DA542" w:rsidR="00D5787B" w:rsidRDefault="00D5787B" w:rsidP="00D5787B">
      <w:pPr>
        <w:spacing w:after="0" w:line="240" w:lineRule="auto"/>
        <w:jc w:val="both"/>
        <w:rPr>
          <w:rFonts w:cstheme="minorHAnsi"/>
        </w:rPr>
      </w:pPr>
    </w:p>
    <w:p w14:paraId="174784B9" w14:textId="5403BA30" w:rsidR="00D5787B" w:rsidRDefault="00D5787B" w:rsidP="00D5787B">
      <w:pPr>
        <w:spacing w:line="240" w:lineRule="auto"/>
        <w:jc w:val="both"/>
        <w:rPr>
          <w:rFonts w:cstheme="minorHAnsi"/>
        </w:rPr>
      </w:pPr>
      <w:r w:rsidRPr="00D5787B">
        <w:rPr>
          <w:rFonts w:cstheme="minorHAnsi"/>
          <w:i/>
          <w:u w:val="single"/>
        </w:rPr>
        <w:t>Eléments inclus</w:t>
      </w:r>
      <w:r>
        <w:rPr>
          <w:rFonts w:cstheme="minorHAnsi"/>
        </w:rPr>
        <w:t> : é</w:t>
      </w:r>
      <w:r w:rsidR="00023D98" w:rsidRPr="00D5787B">
        <w:rPr>
          <w:rFonts w:cstheme="minorHAnsi"/>
        </w:rPr>
        <w:t>quipements sanitaires (baignoires, bacs à douche, cabines de douche, lavabos, éviers, bidets, chasses d'eau), robinetterie, canalisations d'eau et/ou de gaz intérieures, équipements de production d'eau chaude</w:t>
      </w:r>
      <w:r>
        <w:rPr>
          <w:rFonts w:cstheme="minorHAnsi"/>
        </w:rPr>
        <w:t>.</w:t>
      </w:r>
    </w:p>
    <w:p w14:paraId="45585998" w14:textId="4B3CA014" w:rsidR="00023D98" w:rsidRDefault="00D5787B" w:rsidP="00D5787B">
      <w:pPr>
        <w:spacing w:after="0" w:line="240" w:lineRule="auto"/>
        <w:jc w:val="both"/>
        <w:rPr>
          <w:rFonts w:cstheme="minorHAnsi"/>
        </w:rPr>
      </w:pPr>
      <w:r w:rsidRPr="00D5787B">
        <w:rPr>
          <w:rFonts w:cstheme="minorHAnsi"/>
          <w:i/>
          <w:u w:val="single"/>
        </w:rPr>
        <w:t>Eléments exclus</w:t>
      </w:r>
      <w:r>
        <w:rPr>
          <w:rFonts w:cstheme="minorHAnsi"/>
        </w:rPr>
        <w:t> :</w:t>
      </w:r>
      <w:r w:rsidR="00023D98" w:rsidRPr="00D5787B">
        <w:rPr>
          <w:rFonts w:cstheme="minorHAnsi"/>
        </w:rPr>
        <w:t xml:space="preserve"> éléments de raccordement aux réseaux public ou d'assainissement non collectifs, les installations de captage d'eau et systèmes de récupération et de traitement des eaux pluviales lorsqu'ils sont raccordés à l'habitation.</w:t>
      </w:r>
    </w:p>
    <w:p w14:paraId="6FD5ED6A" w14:textId="77777777" w:rsidR="00D5787B" w:rsidRDefault="00D5787B" w:rsidP="00D5787B">
      <w:pPr>
        <w:spacing w:after="0" w:line="240" w:lineRule="auto"/>
        <w:jc w:val="both"/>
        <w:rPr>
          <w:rFonts w:cstheme="minorHAnsi"/>
        </w:rPr>
      </w:pPr>
    </w:p>
    <w:p w14:paraId="37D413EF" w14:textId="1D6B4E0E" w:rsidR="00D5787B" w:rsidRPr="00D5787B" w:rsidRDefault="00D5787B" w:rsidP="00280E1A">
      <w:pPr>
        <w:pStyle w:val="Heading2"/>
        <w:numPr>
          <w:ilvl w:val="2"/>
          <w:numId w:val="13"/>
        </w:numPr>
        <w:spacing w:before="0" w:line="240" w:lineRule="auto"/>
        <w:jc w:val="both"/>
      </w:pPr>
      <w:r w:rsidRPr="00D5787B">
        <w:t>Notion d’installations électriques</w:t>
      </w:r>
    </w:p>
    <w:p w14:paraId="389E252F" w14:textId="2DB1D5CE" w:rsidR="00D5787B" w:rsidRDefault="00D5787B" w:rsidP="00D5787B">
      <w:pPr>
        <w:spacing w:after="0" w:line="240" w:lineRule="auto"/>
        <w:jc w:val="both"/>
        <w:rPr>
          <w:rFonts w:cstheme="minorHAnsi"/>
        </w:rPr>
      </w:pPr>
    </w:p>
    <w:p w14:paraId="39965C52" w14:textId="77777777" w:rsidR="00D5787B" w:rsidRDefault="00D5787B" w:rsidP="00D5787B">
      <w:pPr>
        <w:spacing w:line="240" w:lineRule="auto"/>
        <w:jc w:val="both"/>
        <w:rPr>
          <w:rFonts w:cstheme="minorHAnsi"/>
        </w:rPr>
      </w:pPr>
      <w:r w:rsidRPr="00D5787B">
        <w:rPr>
          <w:rFonts w:cstheme="minorHAnsi"/>
          <w:i/>
          <w:u w:val="single"/>
        </w:rPr>
        <w:t>Eléments inclus</w:t>
      </w:r>
      <w:r>
        <w:rPr>
          <w:rFonts w:cstheme="minorHAnsi"/>
        </w:rPr>
        <w:t xml:space="preserve"> : </w:t>
      </w:r>
      <w:r w:rsidRPr="00023D98">
        <w:rPr>
          <w:rFonts w:cstheme="minorHAnsi"/>
        </w:rPr>
        <w:t>toutes les composantes du circuit électrique ainsi que les équipements de production d'énergie électrique dont les installations photovoltaïques</w:t>
      </w:r>
    </w:p>
    <w:p w14:paraId="1A63F9D5" w14:textId="6E7566B5" w:rsidR="00D5787B" w:rsidRDefault="00D5787B" w:rsidP="00D5787B">
      <w:pPr>
        <w:spacing w:after="0" w:line="240" w:lineRule="auto"/>
        <w:jc w:val="both"/>
        <w:rPr>
          <w:rFonts w:cstheme="minorHAnsi"/>
        </w:rPr>
      </w:pPr>
      <w:r w:rsidRPr="00D5787B">
        <w:rPr>
          <w:rFonts w:cstheme="minorHAnsi"/>
          <w:i/>
          <w:u w:val="single"/>
        </w:rPr>
        <w:t>Eléments exclus</w:t>
      </w:r>
      <w:r>
        <w:rPr>
          <w:rFonts w:cstheme="minorHAnsi"/>
        </w:rPr>
        <w:t xml:space="preserve"> : </w:t>
      </w:r>
      <w:r w:rsidRPr="00023D98">
        <w:rPr>
          <w:rFonts w:cstheme="minorHAnsi"/>
        </w:rPr>
        <w:t>les éléments de raccordement au réseau électrique</w:t>
      </w:r>
      <w:r>
        <w:rPr>
          <w:rFonts w:cstheme="minorHAnsi"/>
        </w:rPr>
        <w:t>.</w:t>
      </w:r>
    </w:p>
    <w:p w14:paraId="28F22A5D" w14:textId="77777777" w:rsidR="00D5787B" w:rsidRDefault="00D5787B" w:rsidP="00D5787B">
      <w:pPr>
        <w:spacing w:after="0" w:line="240" w:lineRule="auto"/>
        <w:jc w:val="both"/>
        <w:rPr>
          <w:rFonts w:cstheme="minorHAnsi"/>
        </w:rPr>
      </w:pPr>
    </w:p>
    <w:p w14:paraId="36927A1C" w14:textId="2422CD96" w:rsidR="00D5787B" w:rsidRPr="00D5787B" w:rsidRDefault="00D5787B" w:rsidP="00280E1A">
      <w:pPr>
        <w:pStyle w:val="Heading2"/>
        <w:numPr>
          <w:ilvl w:val="2"/>
          <w:numId w:val="13"/>
        </w:numPr>
        <w:spacing w:before="0" w:line="240" w:lineRule="auto"/>
        <w:jc w:val="both"/>
      </w:pPr>
      <w:r w:rsidRPr="00D5787B">
        <w:t>Notion de système de chauffage</w:t>
      </w:r>
    </w:p>
    <w:p w14:paraId="71AC87C6" w14:textId="77777777" w:rsidR="00D5787B" w:rsidRDefault="00D5787B" w:rsidP="00D5787B">
      <w:pPr>
        <w:spacing w:after="0" w:line="240" w:lineRule="auto"/>
        <w:rPr>
          <w:rFonts w:cstheme="minorHAnsi"/>
        </w:rPr>
      </w:pPr>
    </w:p>
    <w:p w14:paraId="1580928C" w14:textId="77777777" w:rsidR="00D5787B" w:rsidRDefault="00D5787B" w:rsidP="00FD09C9">
      <w:pPr>
        <w:spacing w:after="0" w:line="240" w:lineRule="auto"/>
        <w:jc w:val="both"/>
        <w:rPr>
          <w:rFonts w:cstheme="minorHAnsi"/>
        </w:rPr>
      </w:pPr>
      <w:r w:rsidRPr="00D5787B">
        <w:rPr>
          <w:rFonts w:cstheme="minorHAnsi"/>
          <w:i/>
          <w:u w:val="single"/>
        </w:rPr>
        <w:t>Eléments inclus</w:t>
      </w:r>
      <w:r>
        <w:rPr>
          <w:rFonts w:cstheme="minorHAnsi"/>
        </w:rPr>
        <w:t xml:space="preserve"> : </w:t>
      </w:r>
      <w:r w:rsidR="00023D98" w:rsidRPr="00D5787B">
        <w:rPr>
          <w:rFonts w:cstheme="minorHAnsi"/>
        </w:rPr>
        <w:t>éléments intégrés à l'immeuble permettant de produire (par exemple : chaudières, convecteurs électriques, inserts, foyers fermés, poêles, capteurs solaires), transporter, diffuser, ou réguler la chaleur (tels que les tuyaux, gaines et radiateurs)</w:t>
      </w:r>
      <w:r>
        <w:rPr>
          <w:rFonts w:cstheme="minorHAnsi"/>
        </w:rPr>
        <w:t>.</w:t>
      </w:r>
    </w:p>
    <w:p w14:paraId="359B223D" w14:textId="77777777" w:rsidR="00D5787B" w:rsidRDefault="00D5787B" w:rsidP="00FD09C9">
      <w:pPr>
        <w:spacing w:after="0" w:line="240" w:lineRule="auto"/>
        <w:jc w:val="both"/>
        <w:rPr>
          <w:rFonts w:cstheme="minorHAnsi"/>
        </w:rPr>
      </w:pPr>
    </w:p>
    <w:p w14:paraId="337DFD1D" w14:textId="24B6A88A" w:rsidR="00023D98" w:rsidRDefault="00D5787B" w:rsidP="00FD09C9">
      <w:pPr>
        <w:spacing w:after="0" w:line="240" w:lineRule="auto"/>
        <w:jc w:val="both"/>
        <w:rPr>
          <w:rFonts w:cstheme="minorHAnsi"/>
        </w:rPr>
      </w:pPr>
      <w:r w:rsidRPr="00D5787B">
        <w:rPr>
          <w:rFonts w:cstheme="minorHAnsi"/>
          <w:i/>
          <w:u w:val="single"/>
        </w:rPr>
        <w:t>Eléments exclus</w:t>
      </w:r>
      <w:r>
        <w:rPr>
          <w:rFonts w:cstheme="minorHAnsi"/>
        </w:rPr>
        <w:t xml:space="preserve"> : </w:t>
      </w:r>
      <w:r w:rsidR="00023D98" w:rsidRPr="00D5787B">
        <w:rPr>
          <w:rFonts w:cstheme="minorHAnsi"/>
        </w:rPr>
        <w:t>éléments de raccordement aux réseaux de chaleur et les matériels de chauffage mobile.</w:t>
      </w:r>
    </w:p>
    <w:p w14:paraId="4620D4B2" w14:textId="748C900B" w:rsidR="00D5787B" w:rsidRDefault="00D5787B" w:rsidP="00D5787B">
      <w:pPr>
        <w:spacing w:after="0" w:line="240" w:lineRule="auto"/>
        <w:rPr>
          <w:rFonts w:cstheme="minorHAnsi"/>
        </w:rPr>
      </w:pPr>
    </w:p>
    <w:p w14:paraId="1182E721" w14:textId="658E9FDF" w:rsidR="00D5787B" w:rsidRPr="00D5787B" w:rsidRDefault="00D5787B" w:rsidP="00280E1A">
      <w:pPr>
        <w:pStyle w:val="Heading2"/>
        <w:numPr>
          <w:ilvl w:val="2"/>
          <w:numId w:val="13"/>
        </w:numPr>
        <w:spacing w:before="0" w:line="240" w:lineRule="auto"/>
        <w:jc w:val="both"/>
      </w:pPr>
      <w:r w:rsidRPr="00D5787B">
        <w:t>Notion de planchers non porteurs</w:t>
      </w:r>
    </w:p>
    <w:p w14:paraId="4B6C4182" w14:textId="77777777" w:rsidR="00D5787B" w:rsidRPr="00D5787B" w:rsidRDefault="00D5787B" w:rsidP="00D5787B">
      <w:pPr>
        <w:spacing w:after="0" w:line="240" w:lineRule="auto"/>
        <w:rPr>
          <w:rFonts w:cstheme="minorHAnsi"/>
        </w:rPr>
      </w:pPr>
    </w:p>
    <w:p w14:paraId="62CABE27" w14:textId="77777777" w:rsidR="00023D98" w:rsidRPr="00023D98" w:rsidRDefault="00023D98" w:rsidP="00D5787B">
      <w:pPr>
        <w:pStyle w:val="ListParagraph"/>
        <w:rPr>
          <w:rFonts w:asciiTheme="minorHAnsi" w:hAnsiTheme="minorHAnsi" w:cstheme="minorHAnsi"/>
          <w:lang w:val="fr-FR"/>
        </w:rPr>
      </w:pPr>
    </w:p>
    <w:p w14:paraId="2B4BC6D9" w14:textId="77777777" w:rsidR="00FD09C9" w:rsidRDefault="00FD09C9" w:rsidP="00FD09C9">
      <w:pPr>
        <w:jc w:val="both"/>
        <w:rPr>
          <w:rFonts w:cstheme="minorHAnsi"/>
          <w:color w:val="000000"/>
          <w:shd w:val="clear" w:color="auto" w:fill="FFFFFF"/>
        </w:rPr>
      </w:pPr>
      <w:r w:rsidRPr="00D5787B">
        <w:rPr>
          <w:rFonts w:cstheme="minorHAnsi"/>
          <w:i/>
          <w:u w:val="single"/>
        </w:rPr>
        <w:t>Eléments inclus</w:t>
      </w:r>
      <w:r>
        <w:rPr>
          <w:rFonts w:cstheme="minorHAnsi"/>
        </w:rPr>
        <w:t> : p</w:t>
      </w:r>
      <w:r w:rsidR="00023D98" w:rsidRPr="00FD09C9">
        <w:rPr>
          <w:rFonts w:cstheme="minorHAnsi"/>
          <w:color w:val="000000"/>
          <w:shd w:val="clear" w:color="auto" w:fill="FFFFFF"/>
        </w:rPr>
        <w:t>lanchers ne déterminant pas la résistance ou la rigidité de l'ouvrage (</w:t>
      </w:r>
      <w:r w:rsidR="00023D98" w:rsidRPr="00FD09C9">
        <w:rPr>
          <w:rFonts w:cstheme="minorHAnsi"/>
          <w:b/>
          <w:color w:val="000000"/>
          <w:shd w:val="clear" w:color="auto" w:fill="FFFFFF"/>
        </w:rPr>
        <w:t>plate-forme horizontale entre deux niveaux</w:t>
      </w:r>
      <w:r w:rsidR="00023D98" w:rsidRPr="00FD09C9">
        <w:rPr>
          <w:rFonts w:cstheme="minorHAnsi"/>
          <w:color w:val="000000"/>
          <w:shd w:val="clear" w:color="auto" w:fill="FFFFFF"/>
        </w:rPr>
        <w:t xml:space="preserve"> non constitutive de la structure porteuse du bâtiment)</w:t>
      </w:r>
      <w:r>
        <w:rPr>
          <w:rFonts w:cstheme="minorHAnsi"/>
          <w:color w:val="000000"/>
          <w:shd w:val="clear" w:color="auto" w:fill="FFFFFF"/>
        </w:rPr>
        <w:t>.</w:t>
      </w:r>
    </w:p>
    <w:p w14:paraId="62CB7CC2" w14:textId="75BB5392" w:rsidR="00023D98" w:rsidRPr="00FD09C9" w:rsidRDefault="00FD09C9" w:rsidP="00FD09C9">
      <w:pPr>
        <w:jc w:val="both"/>
        <w:rPr>
          <w:rFonts w:cstheme="minorHAnsi"/>
        </w:rPr>
      </w:pPr>
      <w:r w:rsidRPr="00FD09C9">
        <w:rPr>
          <w:rFonts w:cstheme="minorHAnsi"/>
          <w:i/>
          <w:color w:val="000000"/>
          <w:u w:val="single"/>
          <w:shd w:val="clear" w:color="auto" w:fill="FFFFFF"/>
        </w:rPr>
        <w:t>Eléments exclus</w:t>
      </w:r>
      <w:r>
        <w:rPr>
          <w:rFonts w:cstheme="minorHAnsi"/>
          <w:color w:val="000000"/>
          <w:shd w:val="clear" w:color="auto" w:fill="FFFFFF"/>
        </w:rPr>
        <w:t> : tr</w:t>
      </w:r>
      <w:r w:rsidR="00023D98" w:rsidRPr="00FD09C9">
        <w:rPr>
          <w:rFonts w:cstheme="minorHAnsi"/>
          <w:color w:val="000000"/>
          <w:shd w:val="clear" w:color="auto" w:fill="FFFFFF"/>
        </w:rPr>
        <w:t>avaux de revêtement de ces planchers (pose de moquettes, carrelages, parquets, linoléum, mosaïques, marbrerie).</w:t>
      </w:r>
    </w:p>
    <w:p w14:paraId="1F6E061C" w14:textId="77777777" w:rsidR="00023D98" w:rsidRDefault="00023D98" w:rsidP="00D5787B">
      <w:pPr>
        <w:spacing w:after="0" w:line="240" w:lineRule="auto"/>
        <w:jc w:val="both"/>
      </w:pPr>
    </w:p>
    <w:p w14:paraId="08FABCF0" w14:textId="162F0281" w:rsidR="00023D98" w:rsidRDefault="00023D98" w:rsidP="00D5787B">
      <w:pPr>
        <w:spacing w:after="0" w:line="240" w:lineRule="auto"/>
        <w:jc w:val="both"/>
      </w:pPr>
    </w:p>
    <w:p w14:paraId="247FD500" w14:textId="571B1513" w:rsidR="00023D98" w:rsidRDefault="00023D98" w:rsidP="00D5787B">
      <w:pPr>
        <w:spacing w:after="0" w:line="240" w:lineRule="auto"/>
        <w:jc w:val="both"/>
      </w:pPr>
    </w:p>
    <w:p w14:paraId="45045CF5" w14:textId="536F01CA" w:rsidR="00023D98" w:rsidRDefault="00023D98" w:rsidP="00D5787B">
      <w:pPr>
        <w:spacing w:after="0" w:line="240" w:lineRule="auto"/>
        <w:jc w:val="both"/>
      </w:pPr>
    </w:p>
    <w:p w14:paraId="64A4739A" w14:textId="77777777" w:rsidR="00023D98" w:rsidRDefault="00023D98" w:rsidP="00D5787B">
      <w:pPr>
        <w:spacing w:after="0" w:line="240" w:lineRule="auto"/>
        <w:jc w:val="both"/>
      </w:pPr>
    </w:p>
    <w:p w14:paraId="271E42E9" w14:textId="77777777" w:rsidR="00784FC7" w:rsidRDefault="00784FC7" w:rsidP="00D5787B">
      <w:pPr>
        <w:pStyle w:val="Heading2"/>
        <w:numPr>
          <w:ilvl w:val="1"/>
          <w:numId w:val="13"/>
        </w:numPr>
        <w:spacing w:before="0" w:line="240" w:lineRule="auto"/>
        <w:jc w:val="both"/>
      </w:pPr>
      <w:r>
        <w:lastRenderedPageBreak/>
        <w:t>Appréciation des seuils</w:t>
      </w:r>
    </w:p>
    <w:p w14:paraId="4EF9BF15" w14:textId="77777777" w:rsidR="00784FC7" w:rsidRPr="00AE3282" w:rsidRDefault="00784FC7" w:rsidP="00D5787B">
      <w:pPr>
        <w:spacing w:after="0" w:line="240" w:lineRule="auto"/>
        <w:jc w:val="both"/>
      </w:pPr>
    </w:p>
    <w:p w14:paraId="2D49FBA7" w14:textId="5A58A361" w:rsidR="00FD09C9" w:rsidRDefault="00FD09C9" w:rsidP="00D5787B">
      <w:pPr>
        <w:spacing w:after="0" w:line="240" w:lineRule="auto"/>
        <w:jc w:val="both"/>
      </w:pPr>
      <w:r>
        <w:t>Pour l’appréciation de l’ampleur des travaux, il convient de se placer à l’issue des travaux et d’opérer le rapport suivant :</w:t>
      </w:r>
    </w:p>
    <w:p w14:paraId="1580A64B" w14:textId="03784DDD" w:rsidR="00FD09C9" w:rsidRDefault="00FD09C9" w:rsidP="00D5787B">
      <w:pPr>
        <w:spacing w:after="0" w:line="240" w:lineRule="auto"/>
        <w:jc w:val="both"/>
      </w:pPr>
    </w:p>
    <w:p w14:paraId="394FB6C1" w14:textId="1D45E346" w:rsidR="00FD09C9" w:rsidRDefault="00FD09C9" w:rsidP="00FD09C9">
      <w:pPr>
        <w:spacing w:after="0" w:line="240" w:lineRule="auto"/>
        <w:jc w:val="center"/>
      </w:pPr>
      <w:r w:rsidRPr="00FD09C9">
        <w:t>Eléments neufs / (éléments neufs + éléments conservés)</w:t>
      </w:r>
    </w:p>
    <w:p w14:paraId="09F7DADC" w14:textId="77777777" w:rsidR="00FD09C9" w:rsidRDefault="00FD09C9" w:rsidP="00D5787B">
      <w:pPr>
        <w:spacing w:after="0" w:line="240" w:lineRule="auto"/>
        <w:jc w:val="both"/>
      </w:pPr>
    </w:p>
    <w:p w14:paraId="1B9A66CD" w14:textId="34460385" w:rsidR="00FD09C9" w:rsidRDefault="00FD09C9" w:rsidP="00D5787B">
      <w:pPr>
        <w:spacing w:after="0" w:line="240" w:lineRule="auto"/>
        <w:jc w:val="both"/>
      </w:pPr>
      <w:r>
        <w:t>On entend par remise à neuf :</w:t>
      </w:r>
      <w:r w:rsidR="00784FC7" w:rsidRPr="00AE3282">
        <w:t xml:space="preserve"> remplacement, reprise en sous-œuvre ou construction nouvelle</w:t>
      </w:r>
      <w:r>
        <w:t>.</w:t>
      </w:r>
    </w:p>
    <w:p w14:paraId="2FABED97" w14:textId="77777777" w:rsidR="00FD09C9" w:rsidRDefault="00FD09C9" w:rsidP="00D5787B">
      <w:pPr>
        <w:spacing w:after="0" w:line="240" w:lineRule="auto"/>
        <w:jc w:val="both"/>
      </w:pPr>
    </w:p>
    <w:p w14:paraId="18B31DA3" w14:textId="6F90422F" w:rsidR="00FD09C9" w:rsidRDefault="00FD09C9" w:rsidP="00FD09C9">
      <w:pPr>
        <w:spacing w:after="0" w:line="240" w:lineRule="auto"/>
        <w:jc w:val="both"/>
      </w:pPr>
      <w:r w:rsidRPr="00FD09C9">
        <w:t xml:space="preserve">De manière générale, ce rapport est apprécié selon un critère physique objectif approprié </w:t>
      </w:r>
      <w:r>
        <w:t xml:space="preserve">et adapté au lot affecté par les travaux, </w:t>
      </w:r>
      <w:r w:rsidRPr="00FD09C9">
        <w:t xml:space="preserve">tel que la surface, le linéaire, le volume, ou </w:t>
      </w:r>
      <w:r w:rsidR="00803CCD">
        <w:t>la</w:t>
      </w:r>
      <w:r w:rsidRPr="00FD09C9">
        <w:t xml:space="preserve"> valeur.</w:t>
      </w:r>
    </w:p>
    <w:p w14:paraId="2A84B083" w14:textId="77777777" w:rsidR="00FD09C9" w:rsidRPr="00FD09C9" w:rsidRDefault="00FD09C9" w:rsidP="00FD09C9">
      <w:pPr>
        <w:spacing w:after="0" w:line="240" w:lineRule="auto"/>
        <w:jc w:val="both"/>
      </w:pPr>
    </w:p>
    <w:p w14:paraId="3F745134" w14:textId="38F0525F" w:rsidR="00FD09C9" w:rsidRPr="00FD09C9" w:rsidRDefault="00FD09C9" w:rsidP="00FD09C9">
      <w:pPr>
        <w:spacing w:after="0" w:line="240" w:lineRule="auto"/>
        <w:jc w:val="both"/>
      </w:pPr>
      <w:r w:rsidRPr="00FD09C9">
        <w:t>L</w:t>
      </w:r>
      <w:r w:rsidR="00803CCD">
        <w:t xml:space="preserve">a seule obligation est de pouvoir </w:t>
      </w:r>
      <w:r w:rsidRPr="00FD09C9">
        <w:t xml:space="preserve">justifier la pertinence </w:t>
      </w:r>
      <w:r w:rsidR="00803CCD">
        <w:t>de la méthode retenue</w:t>
      </w:r>
      <w:r w:rsidRPr="00FD09C9">
        <w:t>.</w:t>
      </w:r>
    </w:p>
    <w:p w14:paraId="27D45AFB" w14:textId="77777777" w:rsidR="00FD09C9" w:rsidRDefault="00FD09C9" w:rsidP="00D5787B">
      <w:pPr>
        <w:spacing w:after="0" w:line="240" w:lineRule="auto"/>
        <w:jc w:val="both"/>
      </w:pPr>
    </w:p>
    <w:p w14:paraId="5D76E8B7" w14:textId="73AF5171" w:rsidR="00D43B72" w:rsidRPr="00D43B72" w:rsidRDefault="00D43B72" w:rsidP="00D5787B">
      <w:pPr>
        <w:spacing w:after="0" w:line="240" w:lineRule="auto"/>
        <w:jc w:val="both"/>
      </w:pPr>
      <w:r w:rsidRPr="00D43B72">
        <w:t>Dans la situation où</w:t>
      </w:r>
      <w:r>
        <w:t xml:space="preserve"> les travaux (i) conduisent à u</w:t>
      </w:r>
      <w:r w:rsidRPr="00D43B72">
        <w:t>ne addition de construction</w:t>
      </w:r>
      <w:r>
        <w:t xml:space="preserve"> et (ii) portent également sur l’existant,</w:t>
      </w:r>
      <w:r w:rsidRPr="00D43B72">
        <w:t xml:space="preserve"> il convient de considérer ces </w:t>
      </w:r>
      <w:r>
        <w:t xml:space="preserve">derniers </w:t>
      </w:r>
      <w:r w:rsidRPr="00D43B72">
        <w:t>travaux isolément afin de déterminer s'ils concourent à eux seuls à la production d'un immeuble neuf.</w:t>
      </w:r>
    </w:p>
    <w:p w14:paraId="6D69D1ED" w14:textId="0FA75787" w:rsidR="00753269" w:rsidRDefault="00753269" w:rsidP="00D5787B">
      <w:pPr>
        <w:spacing w:after="0" w:line="240" w:lineRule="auto"/>
      </w:pPr>
    </w:p>
    <w:p w14:paraId="21D59536" w14:textId="19C9F0D1" w:rsidR="00753269" w:rsidRDefault="00753269" w:rsidP="00D5787B">
      <w:pPr>
        <w:spacing w:after="0" w:line="240" w:lineRule="auto"/>
      </w:pPr>
    </w:p>
    <w:sectPr w:rsidR="00753269" w:rsidSect="00BE739B">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A17C" w14:textId="77777777" w:rsidR="001A19D3" w:rsidRDefault="001A19D3" w:rsidP="002B4D01">
      <w:pPr>
        <w:spacing w:after="0" w:line="240" w:lineRule="auto"/>
      </w:pPr>
      <w:r>
        <w:separator/>
      </w:r>
    </w:p>
  </w:endnote>
  <w:endnote w:type="continuationSeparator" w:id="0">
    <w:p w14:paraId="4489A2EB" w14:textId="77777777" w:rsidR="001A19D3" w:rsidRDefault="001A19D3" w:rsidP="002B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D92D" w14:textId="77777777" w:rsidR="001A19D3" w:rsidRDefault="001A19D3" w:rsidP="002B4D01">
      <w:pPr>
        <w:spacing w:after="0" w:line="240" w:lineRule="auto"/>
      </w:pPr>
      <w:r>
        <w:separator/>
      </w:r>
    </w:p>
  </w:footnote>
  <w:footnote w:type="continuationSeparator" w:id="0">
    <w:p w14:paraId="4F6496D3" w14:textId="77777777" w:rsidR="001A19D3" w:rsidRDefault="001A19D3" w:rsidP="002B4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143"/>
    <w:multiLevelType w:val="hybridMultilevel"/>
    <w:tmpl w:val="1D9AFD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D21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24D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C0EE7"/>
    <w:multiLevelType w:val="hybridMultilevel"/>
    <w:tmpl w:val="173C9D3C"/>
    <w:lvl w:ilvl="0" w:tplc="BB2070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B960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BE05F4"/>
    <w:multiLevelType w:val="hybridMultilevel"/>
    <w:tmpl w:val="1E76E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95954"/>
    <w:multiLevelType w:val="hybridMultilevel"/>
    <w:tmpl w:val="61B2866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1866895"/>
    <w:multiLevelType w:val="hybridMultilevel"/>
    <w:tmpl w:val="C8563D6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B1A71BB"/>
    <w:multiLevelType w:val="hybridMultilevel"/>
    <w:tmpl w:val="4A88AFCA"/>
    <w:lvl w:ilvl="0" w:tplc="40A672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EC2AF4"/>
    <w:multiLevelType w:val="hybridMultilevel"/>
    <w:tmpl w:val="3056D724"/>
    <w:lvl w:ilvl="0" w:tplc="016C0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857C73"/>
    <w:multiLevelType w:val="hybridMultilevel"/>
    <w:tmpl w:val="35DE00EC"/>
    <w:lvl w:ilvl="0" w:tplc="B01A41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5035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F77C58"/>
    <w:multiLevelType w:val="hybridMultilevel"/>
    <w:tmpl w:val="37B8E0A6"/>
    <w:lvl w:ilvl="0" w:tplc="BA4C7BB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060E23"/>
    <w:multiLevelType w:val="hybridMultilevel"/>
    <w:tmpl w:val="3056D724"/>
    <w:lvl w:ilvl="0" w:tplc="016C06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1F7300"/>
    <w:multiLevelType w:val="hybridMultilevel"/>
    <w:tmpl w:val="3056D724"/>
    <w:lvl w:ilvl="0" w:tplc="016C06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4D1E29"/>
    <w:multiLevelType w:val="hybridMultilevel"/>
    <w:tmpl w:val="4612B210"/>
    <w:lvl w:ilvl="0" w:tplc="BA4C7BB4">
      <w:start w:val="1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10"/>
  </w:num>
  <w:num w:numId="3">
    <w:abstractNumId w:val="14"/>
  </w:num>
  <w:num w:numId="4">
    <w:abstractNumId w:val="9"/>
  </w:num>
  <w:num w:numId="5">
    <w:abstractNumId w:val="6"/>
  </w:num>
  <w:num w:numId="6">
    <w:abstractNumId w:val="7"/>
  </w:num>
  <w:num w:numId="7">
    <w:abstractNumId w:val="13"/>
  </w:num>
  <w:num w:numId="8">
    <w:abstractNumId w:val="12"/>
  </w:num>
  <w:num w:numId="9">
    <w:abstractNumId w:val="8"/>
  </w:num>
  <w:num w:numId="10">
    <w:abstractNumId w:val="2"/>
  </w:num>
  <w:num w:numId="11">
    <w:abstractNumId w:val="4"/>
  </w:num>
  <w:num w:numId="12">
    <w:abstractNumId w:val="1"/>
  </w:num>
  <w:num w:numId="13">
    <w:abstractNumId w:val="11"/>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D"/>
    <w:rsid w:val="0000060B"/>
    <w:rsid w:val="0001645B"/>
    <w:rsid w:val="00016C9C"/>
    <w:rsid w:val="00023D98"/>
    <w:rsid w:val="00026C4F"/>
    <w:rsid w:val="0004347B"/>
    <w:rsid w:val="000534F1"/>
    <w:rsid w:val="00077830"/>
    <w:rsid w:val="0008319B"/>
    <w:rsid w:val="000948CF"/>
    <w:rsid w:val="000A0872"/>
    <w:rsid w:val="000A16D9"/>
    <w:rsid w:val="000A5640"/>
    <w:rsid w:val="000A6EB7"/>
    <w:rsid w:val="000B578C"/>
    <w:rsid w:val="00123C0F"/>
    <w:rsid w:val="00145758"/>
    <w:rsid w:val="001624B2"/>
    <w:rsid w:val="00184939"/>
    <w:rsid w:val="001943A9"/>
    <w:rsid w:val="001A19D3"/>
    <w:rsid w:val="001A63EF"/>
    <w:rsid w:val="001A7A57"/>
    <w:rsid w:val="001B615E"/>
    <w:rsid w:val="001C73A2"/>
    <w:rsid w:val="001F6F6C"/>
    <w:rsid w:val="0022581D"/>
    <w:rsid w:val="00230CD5"/>
    <w:rsid w:val="00246A98"/>
    <w:rsid w:val="002560D6"/>
    <w:rsid w:val="0026788D"/>
    <w:rsid w:val="00280E1A"/>
    <w:rsid w:val="00293B3D"/>
    <w:rsid w:val="002B4D01"/>
    <w:rsid w:val="002B7788"/>
    <w:rsid w:val="002C1495"/>
    <w:rsid w:val="002C7F3A"/>
    <w:rsid w:val="002D7B2A"/>
    <w:rsid w:val="002E0B1C"/>
    <w:rsid w:val="003474A2"/>
    <w:rsid w:val="00363B14"/>
    <w:rsid w:val="00382206"/>
    <w:rsid w:val="003A7544"/>
    <w:rsid w:val="003B012F"/>
    <w:rsid w:val="003B6EC3"/>
    <w:rsid w:val="003E0B55"/>
    <w:rsid w:val="003F3FE7"/>
    <w:rsid w:val="003F783F"/>
    <w:rsid w:val="00414646"/>
    <w:rsid w:val="00424B17"/>
    <w:rsid w:val="00441167"/>
    <w:rsid w:val="00467091"/>
    <w:rsid w:val="004708DC"/>
    <w:rsid w:val="004949A2"/>
    <w:rsid w:val="004A0218"/>
    <w:rsid w:val="004B0EAB"/>
    <w:rsid w:val="004B4F0A"/>
    <w:rsid w:val="004C6369"/>
    <w:rsid w:val="004C666E"/>
    <w:rsid w:val="004D4E17"/>
    <w:rsid w:val="004E53D8"/>
    <w:rsid w:val="004F662D"/>
    <w:rsid w:val="005120A0"/>
    <w:rsid w:val="005137B9"/>
    <w:rsid w:val="00516541"/>
    <w:rsid w:val="00530CB8"/>
    <w:rsid w:val="00570355"/>
    <w:rsid w:val="00571FBA"/>
    <w:rsid w:val="005C40D7"/>
    <w:rsid w:val="005D0FFB"/>
    <w:rsid w:val="00612036"/>
    <w:rsid w:val="00614B48"/>
    <w:rsid w:val="0063118D"/>
    <w:rsid w:val="00632D1F"/>
    <w:rsid w:val="00634895"/>
    <w:rsid w:val="00665D45"/>
    <w:rsid w:val="006772A2"/>
    <w:rsid w:val="006B0456"/>
    <w:rsid w:val="006B4FEE"/>
    <w:rsid w:val="006B6BA8"/>
    <w:rsid w:val="006C7ABF"/>
    <w:rsid w:val="006E2A91"/>
    <w:rsid w:val="006F03C5"/>
    <w:rsid w:val="006F1376"/>
    <w:rsid w:val="006F2606"/>
    <w:rsid w:val="00704C11"/>
    <w:rsid w:val="0072429D"/>
    <w:rsid w:val="007276EB"/>
    <w:rsid w:val="00753269"/>
    <w:rsid w:val="00784FC7"/>
    <w:rsid w:val="00796B9D"/>
    <w:rsid w:val="007A4B73"/>
    <w:rsid w:val="007A5D6B"/>
    <w:rsid w:val="007B035E"/>
    <w:rsid w:val="007B7D30"/>
    <w:rsid w:val="007C6059"/>
    <w:rsid w:val="007D446D"/>
    <w:rsid w:val="007E4B34"/>
    <w:rsid w:val="007F0126"/>
    <w:rsid w:val="007F20F6"/>
    <w:rsid w:val="007F499D"/>
    <w:rsid w:val="00803CCD"/>
    <w:rsid w:val="00810D49"/>
    <w:rsid w:val="008223F2"/>
    <w:rsid w:val="0084175A"/>
    <w:rsid w:val="00885B71"/>
    <w:rsid w:val="00890C25"/>
    <w:rsid w:val="008A7102"/>
    <w:rsid w:val="008B6753"/>
    <w:rsid w:val="008E1BDF"/>
    <w:rsid w:val="00900658"/>
    <w:rsid w:val="00914F7D"/>
    <w:rsid w:val="00922577"/>
    <w:rsid w:val="00931417"/>
    <w:rsid w:val="00944D22"/>
    <w:rsid w:val="009457B7"/>
    <w:rsid w:val="00952579"/>
    <w:rsid w:val="00952DEE"/>
    <w:rsid w:val="00971515"/>
    <w:rsid w:val="00987132"/>
    <w:rsid w:val="00990C35"/>
    <w:rsid w:val="009C387B"/>
    <w:rsid w:val="00A1578E"/>
    <w:rsid w:val="00A44E1E"/>
    <w:rsid w:val="00A665C7"/>
    <w:rsid w:val="00A67F9B"/>
    <w:rsid w:val="00A7189F"/>
    <w:rsid w:val="00A72614"/>
    <w:rsid w:val="00A87F03"/>
    <w:rsid w:val="00A92DD1"/>
    <w:rsid w:val="00AB3A11"/>
    <w:rsid w:val="00AB6D5C"/>
    <w:rsid w:val="00AE3282"/>
    <w:rsid w:val="00AF1CD7"/>
    <w:rsid w:val="00AF7AA7"/>
    <w:rsid w:val="00B4124B"/>
    <w:rsid w:val="00B46D3E"/>
    <w:rsid w:val="00BD3421"/>
    <w:rsid w:val="00BD3828"/>
    <w:rsid w:val="00BD6495"/>
    <w:rsid w:val="00BE739B"/>
    <w:rsid w:val="00BF2070"/>
    <w:rsid w:val="00C0198C"/>
    <w:rsid w:val="00C464C7"/>
    <w:rsid w:val="00C62BFD"/>
    <w:rsid w:val="00C63890"/>
    <w:rsid w:val="00C703C1"/>
    <w:rsid w:val="00C82148"/>
    <w:rsid w:val="00C834CF"/>
    <w:rsid w:val="00C93276"/>
    <w:rsid w:val="00CA65F9"/>
    <w:rsid w:val="00CB1F46"/>
    <w:rsid w:val="00CB3C75"/>
    <w:rsid w:val="00CC3105"/>
    <w:rsid w:val="00CE44F1"/>
    <w:rsid w:val="00D03132"/>
    <w:rsid w:val="00D07A64"/>
    <w:rsid w:val="00D30A2E"/>
    <w:rsid w:val="00D42917"/>
    <w:rsid w:val="00D43B72"/>
    <w:rsid w:val="00D5787B"/>
    <w:rsid w:val="00D6684E"/>
    <w:rsid w:val="00D75A2C"/>
    <w:rsid w:val="00DA12CB"/>
    <w:rsid w:val="00DA58B6"/>
    <w:rsid w:val="00DB1AB9"/>
    <w:rsid w:val="00DD2086"/>
    <w:rsid w:val="00DE4ED1"/>
    <w:rsid w:val="00E23058"/>
    <w:rsid w:val="00E24EE6"/>
    <w:rsid w:val="00E82252"/>
    <w:rsid w:val="00E926E8"/>
    <w:rsid w:val="00E944CC"/>
    <w:rsid w:val="00EA684D"/>
    <w:rsid w:val="00EB7EB1"/>
    <w:rsid w:val="00ED4B20"/>
    <w:rsid w:val="00EF7E85"/>
    <w:rsid w:val="00F0720F"/>
    <w:rsid w:val="00F074BD"/>
    <w:rsid w:val="00F07A40"/>
    <w:rsid w:val="00F11D02"/>
    <w:rsid w:val="00F32BB3"/>
    <w:rsid w:val="00F36403"/>
    <w:rsid w:val="00F470D8"/>
    <w:rsid w:val="00F7095F"/>
    <w:rsid w:val="00F852E0"/>
    <w:rsid w:val="00FA3856"/>
    <w:rsid w:val="00FB75EF"/>
    <w:rsid w:val="00FD09C9"/>
    <w:rsid w:val="00FF2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D161F"/>
  <w15:docId w15:val="{75421AC4-0142-4B98-9EEB-8EA16AD6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75"/>
  </w:style>
  <w:style w:type="paragraph" w:styleId="Heading1">
    <w:name w:val="heading 1"/>
    <w:basedOn w:val="Normal"/>
    <w:next w:val="Normal"/>
    <w:link w:val="Heading1Char"/>
    <w:qFormat/>
    <w:rsid w:val="002560D6"/>
    <w:pPr>
      <w:keepNext/>
      <w:spacing w:after="0" w:line="240" w:lineRule="auto"/>
      <w:outlineLvl w:val="0"/>
    </w:pPr>
    <w:rPr>
      <w:rFonts w:ascii="Tahoma" w:eastAsia="Times New Roman" w:hAnsi="Tahoma" w:cs="Times New Roman"/>
      <w:b/>
      <w:bCs/>
      <w:sz w:val="24"/>
      <w:szCs w:val="24"/>
      <w:lang w:eastAsia="fr-FR"/>
    </w:rPr>
  </w:style>
  <w:style w:type="paragraph" w:styleId="Heading2">
    <w:name w:val="heading 2"/>
    <w:basedOn w:val="Normal"/>
    <w:next w:val="Normal"/>
    <w:link w:val="Heading2Char"/>
    <w:uiPriority w:val="9"/>
    <w:unhideWhenUsed/>
    <w:qFormat/>
    <w:rsid w:val="00F364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2560D6"/>
    <w:pPr>
      <w:keepNext/>
      <w:spacing w:after="0" w:line="240" w:lineRule="auto"/>
      <w:jc w:val="center"/>
      <w:outlineLvl w:val="8"/>
    </w:pPr>
    <w:rPr>
      <w:rFonts w:ascii="Tahoma" w:eastAsia="Times New Roman" w:hAnsi="Tahoma" w:cs="Tahoma"/>
      <w:b/>
      <w:bCs/>
      <w:color w:val="003366"/>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C3"/>
    <w:pPr>
      <w:keepNext/>
      <w:keepLines/>
      <w:spacing w:after="0" w:line="240" w:lineRule="auto"/>
      <w:ind w:left="720"/>
      <w:contextualSpacing/>
      <w:jc w:val="both"/>
    </w:pPr>
    <w:rPr>
      <w:rFonts w:ascii="Arial" w:eastAsia="Times New Roman" w:hAnsi="Arial" w:cs="Times New Roman"/>
      <w:sz w:val="20"/>
      <w:szCs w:val="24"/>
      <w:lang w:val="en-US" w:bidi="en-US"/>
    </w:rPr>
  </w:style>
  <w:style w:type="paragraph" w:styleId="BalloonText">
    <w:name w:val="Balloon Text"/>
    <w:basedOn w:val="Normal"/>
    <w:link w:val="BalloonTextChar"/>
    <w:uiPriority w:val="99"/>
    <w:semiHidden/>
    <w:unhideWhenUsed/>
    <w:rsid w:val="001B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5E"/>
    <w:rPr>
      <w:rFonts w:ascii="Segoe UI" w:hAnsi="Segoe UI" w:cs="Segoe UI"/>
      <w:sz w:val="18"/>
      <w:szCs w:val="18"/>
    </w:rPr>
  </w:style>
  <w:style w:type="paragraph" w:styleId="NormalWeb">
    <w:name w:val="Normal (Web)"/>
    <w:basedOn w:val="Normal"/>
    <w:uiPriority w:val="99"/>
    <w:semiHidden/>
    <w:unhideWhenUsed/>
    <w:rsid w:val="00FA38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qFormat/>
    <w:rsid w:val="002B4D01"/>
    <w:pPr>
      <w:spacing w:after="0" w:line="240" w:lineRule="auto"/>
    </w:pPr>
    <w:rPr>
      <w:sz w:val="16"/>
      <w:szCs w:val="20"/>
      <w:lang w:val="en-GB"/>
    </w:rPr>
  </w:style>
  <w:style w:type="character" w:customStyle="1" w:styleId="FootnoteTextChar">
    <w:name w:val="Footnote Text Char"/>
    <w:basedOn w:val="DefaultParagraphFont"/>
    <w:link w:val="FootnoteText"/>
    <w:uiPriority w:val="99"/>
    <w:rsid w:val="002B4D01"/>
    <w:rPr>
      <w:sz w:val="16"/>
      <w:szCs w:val="20"/>
      <w:lang w:val="en-GB"/>
    </w:rPr>
  </w:style>
  <w:style w:type="character" w:styleId="FootnoteReference">
    <w:name w:val="footnote reference"/>
    <w:basedOn w:val="DefaultParagraphFont"/>
    <w:uiPriority w:val="99"/>
    <w:rsid w:val="002B4D01"/>
    <w:rPr>
      <w:vertAlign w:val="superscript"/>
    </w:rPr>
  </w:style>
  <w:style w:type="character" w:styleId="Hyperlink">
    <w:name w:val="Hyperlink"/>
    <w:basedOn w:val="DefaultParagraphFont"/>
    <w:unhideWhenUsed/>
    <w:rsid w:val="0000060B"/>
    <w:rPr>
      <w:color w:val="0000FF"/>
      <w:u w:val="single"/>
    </w:rPr>
  </w:style>
  <w:style w:type="character" w:customStyle="1" w:styleId="Heading1Char">
    <w:name w:val="Heading 1 Char"/>
    <w:basedOn w:val="DefaultParagraphFont"/>
    <w:link w:val="Heading1"/>
    <w:rsid w:val="002560D6"/>
    <w:rPr>
      <w:rFonts w:ascii="Tahoma" w:eastAsia="Times New Roman" w:hAnsi="Tahoma" w:cs="Times New Roman"/>
      <w:b/>
      <w:bCs/>
      <w:sz w:val="24"/>
      <w:szCs w:val="24"/>
      <w:lang w:eastAsia="fr-FR"/>
    </w:rPr>
  </w:style>
  <w:style w:type="character" w:customStyle="1" w:styleId="Heading9Char">
    <w:name w:val="Heading 9 Char"/>
    <w:basedOn w:val="DefaultParagraphFont"/>
    <w:link w:val="Heading9"/>
    <w:rsid w:val="002560D6"/>
    <w:rPr>
      <w:rFonts w:ascii="Tahoma" w:eastAsia="Times New Roman" w:hAnsi="Tahoma" w:cs="Tahoma"/>
      <w:b/>
      <w:bCs/>
      <w:color w:val="003366"/>
      <w:sz w:val="24"/>
      <w:szCs w:val="24"/>
      <w:lang w:eastAsia="fr-FR"/>
    </w:rPr>
  </w:style>
  <w:style w:type="character" w:styleId="Emphasis">
    <w:name w:val="Emphasis"/>
    <w:uiPriority w:val="20"/>
    <w:qFormat/>
    <w:rsid w:val="002560D6"/>
    <w:rPr>
      <w:b/>
      <w:bCs/>
      <w:i w:val="0"/>
      <w:iCs w:val="0"/>
    </w:rPr>
  </w:style>
  <w:style w:type="character" w:customStyle="1" w:styleId="normale">
    <w:name w:val="normale"/>
    <w:rsid w:val="002560D6"/>
  </w:style>
  <w:style w:type="character" w:customStyle="1" w:styleId="UnresolvedMention1">
    <w:name w:val="Unresolved Mention1"/>
    <w:basedOn w:val="DefaultParagraphFont"/>
    <w:uiPriority w:val="99"/>
    <w:semiHidden/>
    <w:unhideWhenUsed/>
    <w:rsid w:val="002560D6"/>
    <w:rPr>
      <w:color w:val="605E5C"/>
      <w:shd w:val="clear" w:color="auto" w:fill="E1DFDD"/>
    </w:rPr>
  </w:style>
  <w:style w:type="character" w:styleId="CommentReference">
    <w:name w:val="annotation reference"/>
    <w:basedOn w:val="DefaultParagraphFont"/>
    <w:uiPriority w:val="99"/>
    <w:semiHidden/>
    <w:unhideWhenUsed/>
    <w:rsid w:val="00F36403"/>
    <w:rPr>
      <w:sz w:val="16"/>
      <w:szCs w:val="16"/>
    </w:rPr>
  </w:style>
  <w:style w:type="paragraph" w:styleId="CommentText">
    <w:name w:val="annotation text"/>
    <w:basedOn w:val="Normal"/>
    <w:link w:val="CommentTextChar"/>
    <w:uiPriority w:val="99"/>
    <w:semiHidden/>
    <w:unhideWhenUsed/>
    <w:rsid w:val="00F36403"/>
    <w:pPr>
      <w:spacing w:line="240" w:lineRule="auto"/>
    </w:pPr>
    <w:rPr>
      <w:sz w:val="20"/>
      <w:szCs w:val="20"/>
    </w:rPr>
  </w:style>
  <w:style w:type="character" w:customStyle="1" w:styleId="CommentTextChar">
    <w:name w:val="Comment Text Char"/>
    <w:basedOn w:val="DefaultParagraphFont"/>
    <w:link w:val="CommentText"/>
    <w:uiPriority w:val="99"/>
    <w:semiHidden/>
    <w:rsid w:val="00F36403"/>
    <w:rPr>
      <w:sz w:val="20"/>
      <w:szCs w:val="20"/>
    </w:rPr>
  </w:style>
  <w:style w:type="paragraph" w:styleId="CommentSubject">
    <w:name w:val="annotation subject"/>
    <w:basedOn w:val="CommentText"/>
    <w:next w:val="CommentText"/>
    <w:link w:val="CommentSubjectChar"/>
    <w:uiPriority w:val="99"/>
    <w:semiHidden/>
    <w:unhideWhenUsed/>
    <w:rsid w:val="00F36403"/>
    <w:rPr>
      <w:b/>
      <w:bCs/>
    </w:rPr>
  </w:style>
  <w:style w:type="character" w:customStyle="1" w:styleId="CommentSubjectChar">
    <w:name w:val="Comment Subject Char"/>
    <w:basedOn w:val="CommentTextChar"/>
    <w:link w:val="CommentSubject"/>
    <w:uiPriority w:val="99"/>
    <w:semiHidden/>
    <w:rsid w:val="00F36403"/>
    <w:rPr>
      <w:b/>
      <w:bCs/>
      <w:sz w:val="20"/>
      <w:szCs w:val="20"/>
    </w:rPr>
  </w:style>
  <w:style w:type="character" w:customStyle="1" w:styleId="Heading2Char">
    <w:name w:val="Heading 2 Char"/>
    <w:basedOn w:val="DefaultParagraphFont"/>
    <w:link w:val="Heading2"/>
    <w:uiPriority w:val="9"/>
    <w:rsid w:val="00F36403"/>
    <w:rPr>
      <w:rFonts w:asciiTheme="majorHAnsi" w:eastAsiaTheme="majorEastAsia" w:hAnsiTheme="majorHAnsi" w:cstheme="majorBidi"/>
      <w:color w:val="365F91" w:themeColor="accent1" w:themeShade="BF"/>
      <w:sz w:val="26"/>
      <w:szCs w:val="26"/>
    </w:rPr>
  </w:style>
  <w:style w:type="paragraph" w:customStyle="1" w:styleId="numero-de-paragraphe-western">
    <w:name w:val="numero-de-paragraphe-western"/>
    <w:basedOn w:val="Normal"/>
    <w:rsid w:val="005D0F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western">
    <w:name w:val="paragraphe-western"/>
    <w:basedOn w:val="Normal"/>
    <w:rsid w:val="005D0F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urisprudence-western">
    <w:name w:val="jurisprudence-western"/>
    <w:basedOn w:val="Normal"/>
    <w:rsid w:val="00D43B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western">
    <w:name w:val="exemple-western"/>
    <w:basedOn w:val="Normal"/>
    <w:rsid w:val="00AE3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E3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45">
      <w:bodyDiv w:val="1"/>
      <w:marLeft w:val="0"/>
      <w:marRight w:val="0"/>
      <w:marTop w:val="0"/>
      <w:marBottom w:val="0"/>
      <w:divBdr>
        <w:top w:val="none" w:sz="0" w:space="0" w:color="auto"/>
        <w:left w:val="none" w:sz="0" w:space="0" w:color="auto"/>
        <w:bottom w:val="none" w:sz="0" w:space="0" w:color="auto"/>
        <w:right w:val="none" w:sz="0" w:space="0" w:color="auto"/>
      </w:divBdr>
    </w:div>
    <w:div w:id="251479126">
      <w:bodyDiv w:val="1"/>
      <w:marLeft w:val="0"/>
      <w:marRight w:val="0"/>
      <w:marTop w:val="0"/>
      <w:marBottom w:val="0"/>
      <w:divBdr>
        <w:top w:val="none" w:sz="0" w:space="0" w:color="auto"/>
        <w:left w:val="none" w:sz="0" w:space="0" w:color="auto"/>
        <w:bottom w:val="none" w:sz="0" w:space="0" w:color="auto"/>
        <w:right w:val="none" w:sz="0" w:space="0" w:color="auto"/>
      </w:divBdr>
      <w:divsChild>
        <w:div w:id="1858959459">
          <w:marLeft w:val="0"/>
          <w:marRight w:val="0"/>
          <w:marTop w:val="0"/>
          <w:marBottom w:val="0"/>
          <w:divBdr>
            <w:top w:val="none" w:sz="0" w:space="0" w:color="auto"/>
            <w:left w:val="none" w:sz="0" w:space="0" w:color="auto"/>
            <w:bottom w:val="none" w:sz="0" w:space="0" w:color="auto"/>
            <w:right w:val="none" w:sz="0" w:space="0" w:color="auto"/>
          </w:divBdr>
          <w:divsChild>
            <w:div w:id="1801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5024">
      <w:bodyDiv w:val="1"/>
      <w:marLeft w:val="0"/>
      <w:marRight w:val="0"/>
      <w:marTop w:val="0"/>
      <w:marBottom w:val="0"/>
      <w:divBdr>
        <w:top w:val="none" w:sz="0" w:space="0" w:color="auto"/>
        <w:left w:val="none" w:sz="0" w:space="0" w:color="auto"/>
        <w:bottom w:val="none" w:sz="0" w:space="0" w:color="auto"/>
        <w:right w:val="none" w:sz="0" w:space="0" w:color="auto"/>
      </w:divBdr>
    </w:div>
    <w:div w:id="494540486">
      <w:bodyDiv w:val="1"/>
      <w:marLeft w:val="0"/>
      <w:marRight w:val="0"/>
      <w:marTop w:val="0"/>
      <w:marBottom w:val="0"/>
      <w:divBdr>
        <w:top w:val="none" w:sz="0" w:space="0" w:color="auto"/>
        <w:left w:val="none" w:sz="0" w:space="0" w:color="auto"/>
        <w:bottom w:val="none" w:sz="0" w:space="0" w:color="auto"/>
        <w:right w:val="none" w:sz="0" w:space="0" w:color="auto"/>
      </w:divBdr>
    </w:div>
    <w:div w:id="539973449">
      <w:bodyDiv w:val="1"/>
      <w:marLeft w:val="0"/>
      <w:marRight w:val="0"/>
      <w:marTop w:val="0"/>
      <w:marBottom w:val="0"/>
      <w:divBdr>
        <w:top w:val="none" w:sz="0" w:space="0" w:color="auto"/>
        <w:left w:val="none" w:sz="0" w:space="0" w:color="auto"/>
        <w:bottom w:val="none" w:sz="0" w:space="0" w:color="auto"/>
        <w:right w:val="none" w:sz="0" w:space="0" w:color="auto"/>
      </w:divBdr>
    </w:div>
    <w:div w:id="674696998">
      <w:bodyDiv w:val="1"/>
      <w:marLeft w:val="0"/>
      <w:marRight w:val="0"/>
      <w:marTop w:val="0"/>
      <w:marBottom w:val="0"/>
      <w:divBdr>
        <w:top w:val="none" w:sz="0" w:space="0" w:color="auto"/>
        <w:left w:val="none" w:sz="0" w:space="0" w:color="auto"/>
        <w:bottom w:val="none" w:sz="0" w:space="0" w:color="auto"/>
        <w:right w:val="none" w:sz="0" w:space="0" w:color="auto"/>
      </w:divBdr>
    </w:div>
    <w:div w:id="844244814">
      <w:bodyDiv w:val="1"/>
      <w:marLeft w:val="0"/>
      <w:marRight w:val="0"/>
      <w:marTop w:val="0"/>
      <w:marBottom w:val="0"/>
      <w:divBdr>
        <w:top w:val="none" w:sz="0" w:space="0" w:color="auto"/>
        <w:left w:val="none" w:sz="0" w:space="0" w:color="auto"/>
        <w:bottom w:val="none" w:sz="0" w:space="0" w:color="auto"/>
        <w:right w:val="none" w:sz="0" w:space="0" w:color="auto"/>
      </w:divBdr>
    </w:div>
    <w:div w:id="938559353">
      <w:bodyDiv w:val="1"/>
      <w:marLeft w:val="0"/>
      <w:marRight w:val="0"/>
      <w:marTop w:val="0"/>
      <w:marBottom w:val="0"/>
      <w:divBdr>
        <w:top w:val="none" w:sz="0" w:space="0" w:color="auto"/>
        <w:left w:val="none" w:sz="0" w:space="0" w:color="auto"/>
        <w:bottom w:val="none" w:sz="0" w:space="0" w:color="auto"/>
        <w:right w:val="none" w:sz="0" w:space="0" w:color="auto"/>
      </w:divBdr>
    </w:div>
    <w:div w:id="1304238523">
      <w:bodyDiv w:val="1"/>
      <w:marLeft w:val="0"/>
      <w:marRight w:val="0"/>
      <w:marTop w:val="0"/>
      <w:marBottom w:val="0"/>
      <w:divBdr>
        <w:top w:val="none" w:sz="0" w:space="0" w:color="auto"/>
        <w:left w:val="none" w:sz="0" w:space="0" w:color="auto"/>
        <w:bottom w:val="none" w:sz="0" w:space="0" w:color="auto"/>
        <w:right w:val="none" w:sz="0" w:space="0" w:color="auto"/>
      </w:divBdr>
    </w:div>
    <w:div w:id="1685672355">
      <w:bodyDiv w:val="1"/>
      <w:marLeft w:val="0"/>
      <w:marRight w:val="0"/>
      <w:marTop w:val="0"/>
      <w:marBottom w:val="0"/>
      <w:divBdr>
        <w:top w:val="none" w:sz="0" w:space="0" w:color="auto"/>
        <w:left w:val="none" w:sz="0" w:space="0" w:color="auto"/>
        <w:bottom w:val="none" w:sz="0" w:space="0" w:color="auto"/>
        <w:right w:val="none" w:sz="0" w:space="0" w:color="auto"/>
      </w:divBdr>
    </w:div>
    <w:div w:id="1959293474">
      <w:bodyDiv w:val="1"/>
      <w:marLeft w:val="0"/>
      <w:marRight w:val="0"/>
      <w:marTop w:val="0"/>
      <w:marBottom w:val="0"/>
      <w:divBdr>
        <w:top w:val="none" w:sz="0" w:space="0" w:color="auto"/>
        <w:left w:val="none" w:sz="0" w:space="0" w:color="auto"/>
        <w:bottom w:val="none" w:sz="0" w:space="0" w:color="auto"/>
        <w:right w:val="none" w:sz="0" w:space="0" w:color="auto"/>
      </w:divBdr>
      <w:divsChild>
        <w:div w:id="118405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0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8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24189151&amp;cidTexte=LEGITEXT000006069577&amp;dateTexte=20110612&amp;fastPos=1&amp;fastReqId=964641483&amp;oldAction=rechCodeArticle" TargetMode="External"/><Relationship Id="rId3" Type="http://schemas.openxmlformats.org/officeDocument/2006/relationships/settings" Target="settings.xml"/><Relationship Id="rId7" Type="http://schemas.openxmlformats.org/officeDocument/2006/relationships/hyperlink" Target="http://www.legifrance.gouv.fr/affichCodeArticle.do?idArticle=LEGIARTI000029042617&amp;cidTexte=LEGITEXT000006069577&amp;dateTexte=20140530&amp;oldAction=rechCodeArticle&amp;fastReqId=519386587&amp;nbResultRec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france.gouv.fr/affichCodeArticle.do?idArticle=LEGIARTI000031219412&amp;cidTexte=LEGITEXT000006069577&amp;dateTexte=20160101&amp;oldAction=rechCodeArticle&amp;fastReqId=1889040634&amp;nbResultRech=1" TargetMode="External"/><Relationship Id="rId4" Type="http://schemas.openxmlformats.org/officeDocument/2006/relationships/webSettings" Target="webSettings.xml"/><Relationship Id="rId9" Type="http://schemas.openxmlformats.org/officeDocument/2006/relationships/hyperlink" Target="http://www.legifrance.gouv.fr/affichCodeArticle.do?idArticle=LEGIARTI000022816539&amp;cidTexte=LEGITEXT000006069569&amp;dateTexte=2010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2788</Words>
  <Characters>15335</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Deloitte.</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Stemmer, William</cp:lastModifiedBy>
  <cp:revision>12</cp:revision>
  <cp:lastPrinted>2020-02-18T16:04:00Z</cp:lastPrinted>
  <dcterms:created xsi:type="dcterms:W3CDTF">2020-04-14T08:17:00Z</dcterms:created>
  <dcterms:modified xsi:type="dcterms:W3CDTF">2020-10-08T17:31:00Z</dcterms:modified>
</cp:coreProperties>
</file>